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085BD4">
        <w:rPr>
          <w:rFonts w:ascii="Arial" w:hAnsi="Arial" w:cs="Arial"/>
          <w:b/>
          <w:sz w:val="26"/>
          <w:szCs w:val="26"/>
        </w:rPr>
        <w:t>2020-00568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085BD4">
        <w:rPr>
          <w:rFonts w:ascii="Arial" w:hAnsi="Arial" w:cs="Arial"/>
          <w:b/>
          <w:sz w:val="26"/>
          <w:szCs w:val="26"/>
        </w:rPr>
        <w:t>ALCALDÍA DE MACHETÁ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085BD4">
        <w:rPr>
          <w:rFonts w:ascii="Arial" w:hAnsi="Arial" w:cs="Arial"/>
          <w:b/>
          <w:sz w:val="26"/>
          <w:szCs w:val="26"/>
        </w:rPr>
        <w:t>: DECRETO 020 DEL 17 DE MARZO DE 2020 Y DECRETO 023 DEL 23</w:t>
      </w:r>
      <w:r w:rsidR="003258AB">
        <w:rPr>
          <w:rFonts w:ascii="Arial" w:hAnsi="Arial" w:cs="Arial"/>
          <w:b/>
          <w:sz w:val="26"/>
          <w:szCs w:val="26"/>
        </w:rPr>
        <w:t xml:space="preserve"> DE MARZO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085BD4">
        <w:rPr>
          <w:rStyle w:val="Textoennegrita"/>
          <w:rFonts w:ascii="Arial" w:hAnsi="Arial" w:cs="Arial"/>
          <w:color w:val="000000"/>
          <w:sz w:val="26"/>
          <w:szCs w:val="26"/>
        </w:rPr>
        <w:t>28</w:t>
      </w:r>
      <w:bookmarkStart w:id="0" w:name="_GoBack"/>
      <w:bookmarkEnd w:id="0"/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3258AB">
        <w:rPr>
          <w:rFonts w:ascii="Arial" w:hAnsi="Arial" w:cs="Arial"/>
          <w:color w:val="000000"/>
          <w:sz w:val="26"/>
          <w:szCs w:val="26"/>
        </w:rPr>
        <w:t xml:space="preserve"> la providencia del 23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F1055"/>
    <w:rsid w:val="003258AB"/>
    <w:rsid w:val="00421565"/>
    <w:rsid w:val="004D4FFF"/>
    <w:rsid w:val="005E7106"/>
    <w:rsid w:val="00684FAD"/>
    <w:rsid w:val="00711F09"/>
    <w:rsid w:val="00783CD9"/>
    <w:rsid w:val="0084461C"/>
    <w:rsid w:val="00892E2D"/>
    <w:rsid w:val="00910985"/>
    <w:rsid w:val="009F1819"/>
    <w:rsid w:val="00A53A9D"/>
    <w:rsid w:val="00A56D67"/>
    <w:rsid w:val="00AB32C1"/>
    <w:rsid w:val="00BC3189"/>
    <w:rsid w:val="00BD155B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28728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2020-04-28T17:57:00Z</dcterms:created>
  <dcterms:modified xsi:type="dcterms:W3CDTF">2020-04-28T18:00:00Z</dcterms:modified>
</cp:coreProperties>
</file>