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33" w:rsidRDefault="00FE7E33" w:rsidP="00F35DFD">
      <w:pPr>
        <w:spacing w:line="360" w:lineRule="auto"/>
        <w:ind w:left="567"/>
        <w:jc w:val="center"/>
        <w:rPr>
          <w:rFonts w:ascii="Arial" w:hAnsi="Arial" w:cs="Arial"/>
          <w:b/>
          <w:bCs/>
          <w:sz w:val="24"/>
          <w:szCs w:val="24"/>
        </w:rPr>
      </w:pPr>
    </w:p>
    <w:p w:rsidR="00FE7E33" w:rsidRDefault="00FE7E33" w:rsidP="00F35DFD">
      <w:pPr>
        <w:spacing w:line="360" w:lineRule="auto"/>
        <w:ind w:left="567"/>
        <w:jc w:val="center"/>
        <w:rPr>
          <w:rFonts w:ascii="Arial" w:hAnsi="Arial" w:cs="Arial"/>
          <w:b/>
          <w:bCs/>
          <w:sz w:val="24"/>
          <w:szCs w:val="24"/>
        </w:rPr>
      </w:pPr>
    </w:p>
    <w:p w:rsidR="00FE7E33" w:rsidRPr="00ED339E" w:rsidRDefault="00FE7E33" w:rsidP="00F35DFD">
      <w:pPr>
        <w:spacing w:line="360" w:lineRule="auto"/>
        <w:ind w:left="567"/>
        <w:jc w:val="center"/>
        <w:rPr>
          <w:rFonts w:ascii="Arial" w:hAnsi="Arial" w:cs="Arial"/>
          <w:b/>
          <w:bCs/>
          <w:sz w:val="24"/>
          <w:szCs w:val="24"/>
        </w:rPr>
      </w:pPr>
      <w:r w:rsidRPr="00ED339E">
        <w:rPr>
          <w:rFonts w:ascii="Arial" w:hAnsi="Arial" w:cs="Arial"/>
          <w:b/>
          <w:bCs/>
          <w:sz w:val="24"/>
          <w:szCs w:val="24"/>
        </w:rPr>
        <w:t>CONSEJO DE ESTADO</w:t>
      </w:r>
    </w:p>
    <w:p w:rsidR="00FE7E33" w:rsidRPr="00ED339E" w:rsidRDefault="00FE7E33" w:rsidP="00F35DFD">
      <w:pPr>
        <w:spacing w:line="360" w:lineRule="auto"/>
        <w:ind w:left="567"/>
        <w:jc w:val="center"/>
        <w:rPr>
          <w:rFonts w:ascii="Arial" w:hAnsi="Arial" w:cs="Arial"/>
          <w:b/>
          <w:bCs/>
          <w:sz w:val="24"/>
          <w:szCs w:val="24"/>
        </w:rPr>
      </w:pPr>
      <w:r w:rsidRPr="00ED339E">
        <w:rPr>
          <w:rFonts w:ascii="Arial" w:hAnsi="Arial" w:cs="Arial"/>
          <w:b/>
          <w:bCs/>
          <w:sz w:val="24"/>
          <w:szCs w:val="24"/>
        </w:rPr>
        <w:t>SALA DE LO CONTENCIOSO ADMINISTRATIVO</w:t>
      </w:r>
    </w:p>
    <w:p w:rsidR="00FE7E33" w:rsidRPr="00ED339E" w:rsidRDefault="00FE7E33" w:rsidP="00F35DFD">
      <w:pPr>
        <w:spacing w:line="360" w:lineRule="auto"/>
        <w:ind w:left="567"/>
        <w:jc w:val="center"/>
        <w:rPr>
          <w:rFonts w:ascii="Arial" w:hAnsi="Arial" w:cs="Arial"/>
          <w:b/>
          <w:bCs/>
          <w:sz w:val="24"/>
          <w:szCs w:val="24"/>
        </w:rPr>
      </w:pPr>
      <w:r w:rsidRPr="00ED339E">
        <w:rPr>
          <w:rFonts w:ascii="Arial" w:hAnsi="Arial" w:cs="Arial"/>
          <w:b/>
          <w:bCs/>
          <w:sz w:val="24"/>
          <w:szCs w:val="24"/>
        </w:rPr>
        <w:t>SECCIÓN SEGUNDA – SUBSECCIÓN B</w:t>
      </w:r>
    </w:p>
    <w:p w:rsidR="00FE7E33" w:rsidRDefault="00FE7E33" w:rsidP="00F35DFD">
      <w:pPr>
        <w:spacing w:line="360" w:lineRule="auto"/>
        <w:rPr>
          <w:rFonts w:ascii="Arial" w:hAnsi="Arial" w:cs="Arial"/>
          <w:bCs/>
          <w:spacing w:val="20"/>
          <w:sz w:val="24"/>
          <w:szCs w:val="24"/>
        </w:rPr>
      </w:pPr>
    </w:p>
    <w:p w:rsidR="00FE7E33" w:rsidRPr="00ED339E" w:rsidRDefault="00FE7E33" w:rsidP="00F35DFD">
      <w:pPr>
        <w:pStyle w:val="bodytext2"/>
        <w:ind w:left="567"/>
        <w:jc w:val="center"/>
        <w:rPr>
          <w:i w:val="0"/>
          <w:iCs w:val="0"/>
        </w:rPr>
      </w:pPr>
      <w:r w:rsidRPr="00ED339E">
        <w:rPr>
          <w:i w:val="0"/>
          <w:iCs w:val="0"/>
        </w:rPr>
        <w:t>CONSEJERO PONENTE: CÉSAR PALOMINO CORTÉS</w:t>
      </w:r>
    </w:p>
    <w:p w:rsidR="00FE7E33" w:rsidRDefault="00FE7E33" w:rsidP="00F35DFD">
      <w:pPr>
        <w:rPr>
          <w:rFonts w:ascii="Arial" w:hAnsi="Arial" w:cs="Arial"/>
          <w:spacing w:val="-6"/>
          <w:sz w:val="24"/>
          <w:szCs w:val="24"/>
        </w:rPr>
      </w:pPr>
    </w:p>
    <w:p w:rsidR="00FE7E33" w:rsidRDefault="00FE7E33" w:rsidP="00F35DFD">
      <w:pPr>
        <w:rPr>
          <w:rFonts w:ascii="Arial" w:hAnsi="Arial" w:cs="Arial"/>
          <w:spacing w:val="-6"/>
          <w:sz w:val="24"/>
          <w:szCs w:val="24"/>
        </w:rPr>
      </w:pPr>
    </w:p>
    <w:p w:rsidR="00FE7E33" w:rsidRDefault="00FE7E33" w:rsidP="00F35DFD">
      <w:pPr>
        <w:spacing w:line="360" w:lineRule="auto"/>
        <w:rPr>
          <w:rFonts w:ascii="Arial" w:hAnsi="Arial" w:cs="Arial"/>
          <w:bCs/>
          <w:spacing w:val="20"/>
          <w:sz w:val="24"/>
          <w:szCs w:val="24"/>
        </w:rPr>
      </w:pPr>
      <w:r w:rsidRPr="00ED339E">
        <w:rPr>
          <w:rFonts w:ascii="Arial" w:hAnsi="Arial" w:cs="Arial"/>
          <w:spacing w:val="-6"/>
          <w:sz w:val="24"/>
          <w:szCs w:val="24"/>
        </w:rPr>
        <w:t xml:space="preserve">Bogotá, D. C., </w:t>
      </w:r>
      <w:r>
        <w:rPr>
          <w:rFonts w:ascii="Arial" w:hAnsi="Arial" w:cs="Arial"/>
          <w:spacing w:val="-6"/>
          <w:sz w:val="24"/>
          <w:szCs w:val="24"/>
        </w:rPr>
        <w:t>doce</w:t>
      </w:r>
      <w:r w:rsidRPr="00ED339E">
        <w:rPr>
          <w:rFonts w:ascii="Arial" w:hAnsi="Arial" w:cs="Arial"/>
          <w:spacing w:val="-6"/>
          <w:sz w:val="24"/>
          <w:szCs w:val="24"/>
        </w:rPr>
        <w:t xml:space="preserve"> (</w:t>
      </w:r>
      <w:r>
        <w:rPr>
          <w:rFonts w:ascii="Arial" w:hAnsi="Arial" w:cs="Arial"/>
          <w:spacing w:val="-6"/>
          <w:sz w:val="24"/>
          <w:szCs w:val="24"/>
        </w:rPr>
        <w:t>12</w:t>
      </w:r>
      <w:r w:rsidRPr="00ED339E">
        <w:rPr>
          <w:rFonts w:ascii="Arial" w:hAnsi="Arial" w:cs="Arial"/>
          <w:spacing w:val="-6"/>
          <w:sz w:val="24"/>
          <w:szCs w:val="24"/>
        </w:rPr>
        <w:t xml:space="preserve">) de </w:t>
      </w:r>
      <w:r>
        <w:rPr>
          <w:rFonts w:ascii="Arial" w:hAnsi="Arial" w:cs="Arial"/>
          <w:spacing w:val="-6"/>
          <w:sz w:val="24"/>
          <w:szCs w:val="24"/>
        </w:rPr>
        <w:t>marzo</w:t>
      </w:r>
      <w:r w:rsidRPr="00ED339E">
        <w:rPr>
          <w:rFonts w:ascii="Arial" w:hAnsi="Arial" w:cs="Arial"/>
          <w:spacing w:val="-6"/>
          <w:sz w:val="24"/>
          <w:szCs w:val="24"/>
        </w:rPr>
        <w:t xml:space="preserve"> de dos mil </w:t>
      </w:r>
      <w:r>
        <w:rPr>
          <w:rFonts w:ascii="Arial" w:hAnsi="Arial" w:cs="Arial"/>
          <w:spacing w:val="-6"/>
          <w:sz w:val="24"/>
          <w:szCs w:val="24"/>
        </w:rPr>
        <w:t>veinte</w:t>
      </w:r>
      <w:r w:rsidRPr="00ED339E">
        <w:rPr>
          <w:rFonts w:ascii="Arial" w:hAnsi="Arial" w:cs="Arial"/>
          <w:spacing w:val="-6"/>
          <w:sz w:val="24"/>
          <w:szCs w:val="24"/>
        </w:rPr>
        <w:t xml:space="preserve"> (20</w:t>
      </w:r>
      <w:r>
        <w:rPr>
          <w:rFonts w:ascii="Arial" w:hAnsi="Arial" w:cs="Arial"/>
          <w:spacing w:val="-6"/>
          <w:sz w:val="24"/>
          <w:szCs w:val="24"/>
        </w:rPr>
        <w:t>20</w:t>
      </w:r>
      <w:r w:rsidRPr="00ED339E">
        <w:rPr>
          <w:rFonts w:ascii="Arial" w:hAnsi="Arial" w:cs="Arial"/>
          <w:spacing w:val="-6"/>
          <w:sz w:val="24"/>
          <w:szCs w:val="24"/>
        </w:rPr>
        <w:t xml:space="preserve">). </w:t>
      </w:r>
      <w:r w:rsidRPr="00ED339E">
        <w:rPr>
          <w:rFonts w:ascii="Arial" w:hAnsi="Arial" w:cs="Arial"/>
          <w:bCs/>
          <w:spacing w:val="20"/>
          <w:sz w:val="24"/>
          <w:szCs w:val="24"/>
        </w:rPr>
        <w:tab/>
      </w:r>
    </w:p>
    <w:p w:rsidR="00FE7E33" w:rsidRDefault="00FE7E33" w:rsidP="00F35DFD">
      <w:pPr>
        <w:spacing w:line="276" w:lineRule="auto"/>
        <w:jc w:val="both"/>
        <w:rPr>
          <w:rFonts w:ascii="Arial" w:eastAsia="Dotum" w:hAnsi="Arial" w:cs="Arial"/>
          <w:b/>
          <w:bCs/>
          <w:sz w:val="24"/>
          <w:szCs w:val="24"/>
          <w:lang w:val="es-ES" w:eastAsia="es-ES"/>
        </w:rPr>
      </w:pPr>
    </w:p>
    <w:p w:rsidR="00FE7E33" w:rsidRPr="00ED339E" w:rsidRDefault="00FE7E33" w:rsidP="00F35DFD">
      <w:pPr>
        <w:spacing w:line="276" w:lineRule="auto"/>
        <w:jc w:val="both"/>
        <w:rPr>
          <w:rFonts w:ascii="Arial" w:eastAsia="Dotum" w:hAnsi="Arial" w:cs="Arial"/>
          <w:b/>
          <w:bCs/>
          <w:sz w:val="24"/>
          <w:szCs w:val="24"/>
          <w:lang w:val="es-ES" w:eastAsia="es-ES"/>
        </w:rPr>
      </w:pPr>
      <w:r w:rsidRPr="00ED339E">
        <w:rPr>
          <w:rFonts w:ascii="Arial" w:eastAsia="Dotum" w:hAnsi="Arial" w:cs="Arial"/>
          <w:b/>
          <w:bCs/>
          <w:sz w:val="24"/>
          <w:szCs w:val="24"/>
          <w:lang w:val="es-ES" w:eastAsia="es-ES"/>
        </w:rPr>
        <w:t xml:space="preserve">Radicado         </w:t>
      </w:r>
      <w:r w:rsidRPr="00ED339E">
        <w:rPr>
          <w:rFonts w:ascii="Arial" w:eastAsia="Dotum" w:hAnsi="Arial" w:cs="Arial"/>
          <w:b/>
          <w:bCs/>
          <w:sz w:val="24"/>
          <w:szCs w:val="24"/>
          <w:lang w:val="es-ES" w:eastAsia="es-ES"/>
        </w:rPr>
        <w:tab/>
        <w:t xml:space="preserve"> : </w:t>
      </w:r>
      <w:r>
        <w:rPr>
          <w:rFonts w:ascii="Arial" w:eastAsia="Dotum" w:hAnsi="Arial" w:cs="Arial"/>
          <w:b/>
          <w:bCs/>
          <w:sz w:val="24"/>
          <w:szCs w:val="24"/>
          <w:lang w:val="es-ES" w:eastAsia="es-ES"/>
        </w:rPr>
        <w:t>11001-03-25-000-2014-00628-00</w:t>
      </w:r>
    </w:p>
    <w:p w:rsidR="00FE7E33" w:rsidRPr="00ED339E" w:rsidRDefault="00FE7E33" w:rsidP="00F35DFD">
      <w:pPr>
        <w:spacing w:line="276" w:lineRule="auto"/>
        <w:jc w:val="both"/>
        <w:rPr>
          <w:rFonts w:ascii="Arial" w:eastAsia="Dotum" w:hAnsi="Arial" w:cs="Arial"/>
          <w:b/>
          <w:bCs/>
          <w:sz w:val="24"/>
          <w:szCs w:val="24"/>
          <w:lang w:val="es-ES" w:eastAsia="es-ES"/>
        </w:rPr>
      </w:pPr>
      <w:r w:rsidRPr="00ED339E">
        <w:rPr>
          <w:rFonts w:ascii="Arial" w:eastAsia="Dotum" w:hAnsi="Arial" w:cs="Arial"/>
          <w:b/>
          <w:bCs/>
          <w:sz w:val="24"/>
          <w:szCs w:val="24"/>
          <w:lang w:val="es-ES" w:eastAsia="es-ES"/>
        </w:rPr>
        <w:t>Nº Interno</w:t>
      </w:r>
      <w:r w:rsidRPr="00ED339E">
        <w:rPr>
          <w:rFonts w:ascii="Arial" w:eastAsia="Dotum" w:hAnsi="Arial" w:cs="Arial"/>
          <w:b/>
          <w:bCs/>
          <w:sz w:val="24"/>
          <w:szCs w:val="24"/>
          <w:lang w:val="es-ES" w:eastAsia="es-ES"/>
        </w:rPr>
        <w:tab/>
      </w:r>
      <w:r w:rsidRPr="00ED339E">
        <w:rPr>
          <w:rFonts w:ascii="Arial" w:eastAsia="Dotum" w:hAnsi="Arial" w:cs="Arial"/>
          <w:b/>
          <w:bCs/>
          <w:sz w:val="24"/>
          <w:szCs w:val="24"/>
          <w:lang w:val="es-ES" w:eastAsia="es-ES"/>
        </w:rPr>
        <w:tab/>
        <w:t xml:space="preserve"> : </w:t>
      </w:r>
      <w:r>
        <w:rPr>
          <w:rFonts w:ascii="Arial" w:eastAsia="Dotum" w:hAnsi="Arial" w:cs="Arial"/>
          <w:b/>
          <w:bCs/>
          <w:sz w:val="24"/>
          <w:szCs w:val="24"/>
          <w:lang w:val="es-ES" w:eastAsia="es-ES"/>
        </w:rPr>
        <w:t>1959-2014</w:t>
      </w:r>
    </w:p>
    <w:p w:rsidR="00FE7E33" w:rsidRPr="00ED339E" w:rsidRDefault="00FE7E33" w:rsidP="00F35DFD">
      <w:pPr>
        <w:spacing w:line="276" w:lineRule="auto"/>
        <w:jc w:val="both"/>
        <w:rPr>
          <w:rFonts w:ascii="Arial" w:eastAsia="Dotum" w:hAnsi="Arial" w:cs="Arial"/>
          <w:b/>
          <w:bCs/>
          <w:sz w:val="24"/>
          <w:szCs w:val="24"/>
          <w:lang w:val="es-ES" w:eastAsia="es-ES"/>
        </w:rPr>
      </w:pPr>
      <w:r w:rsidRPr="00ED339E">
        <w:rPr>
          <w:rFonts w:ascii="Arial" w:eastAsia="Dotum" w:hAnsi="Arial" w:cs="Arial"/>
          <w:b/>
          <w:bCs/>
          <w:sz w:val="24"/>
          <w:szCs w:val="24"/>
          <w:lang w:val="es-ES" w:eastAsia="es-ES"/>
        </w:rPr>
        <w:t xml:space="preserve">Demandante  </w:t>
      </w:r>
      <w:r w:rsidRPr="00ED339E">
        <w:rPr>
          <w:rFonts w:ascii="Arial" w:eastAsia="Dotum" w:hAnsi="Arial" w:cs="Arial"/>
          <w:b/>
          <w:bCs/>
          <w:sz w:val="24"/>
          <w:szCs w:val="24"/>
          <w:lang w:val="es-ES" w:eastAsia="es-ES"/>
        </w:rPr>
        <w:tab/>
        <w:t xml:space="preserve"> : Unidad Administrativa Especial de Gestión</w:t>
      </w:r>
    </w:p>
    <w:p w:rsidR="00FE7E33" w:rsidRPr="00ED339E" w:rsidRDefault="00FE7E33" w:rsidP="00F35DFD">
      <w:pPr>
        <w:spacing w:line="276" w:lineRule="auto"/>
        <w:ind w:left="2124"/>
        <w:jc w:val="both"/>
        <w:rPr>
          <w:rFonts w:ascii="Arial" w:eastAsia="Dotum" w:hAnsi="Arial" w:cs="Arial"/>
          <w:b/>
          <w:bCs/>
          <w:sz w:val="24"/>
          <w:szCs w:val="24"/>
          <w:lang w:val="es-ES" w:eastAsia="es-ES"/>
        </w:rPr>
      </w:pPr>
      <w:r w:rsidRPr="00ED339E">
        <w:rPr>
          <w:rFonts w:ascii="Arial" w:eastAsia="Dotum" w:hAnsi="Arial" w:cs="Arial"/>
          <w:b/>
          <w:bCs/>
          <w:sz w:val="24"/>
          <w:szCs w:val="24"/>
          <w:lang w:val="es-ES" w:eastAsia="es-ES"/>
        </w:rPr>
        <w:t xml:space="preserve">   Pensional y Contribuciones Parafiscales de la    </w:t>
      </w:r>
    </w:p>
    <w:p w:rsidR="00FE7E33" w:rsidRPr="00ED339E" w:rsidRDefault="00FE7E33" w:rsidP="00F35DFD">
      <w:pPr>
        <w:spacing w:line="276" w:lineRule="auto"/>
        <w:ind w:left="2124"/>
        <w:jc w:val="both"/>
        <w:rPr>
          <w:rFonts w:ascii="Arial" w:eastAsia="Dotum" w:hAnsi="Arial" w:cs="Arial"/>
          <w:b/>
          <w:bCs/>
          <w:sz w:val="24"/>
          <w:szCs w:val="24"/>
          <w:lang w:val="es-ES" w:eastAsia="es-ES"/>
        </w:rPr>
      </w:pPr>
      <w:r w:rsidRPr="00ED339E">
        <w:rPr>
          <w:rFonts w:ascii="Arial" w:eastAsia="Dotum" w:hAnsi="Arial" w:cs="Arial"/>
          <w:b/>
          <w:bCs/>
          <w:sz w:val="24"/>
          <w:szCs w:val="24"/>
          <w:lang w:val="es-ES" w:eastAsia="es-ES"/>
        </w:rPr>
        <w:t xml:space="preserve">   Protección Social –UGPP.</w:t>
      </w:r>
    </w:p>
    <w:p w:rsidR="00FE7E33" w:rsidRPr="00ED339E" w:rsidRDefault="00FE7E33" w:rsidP="00F35DFD">
      <w:pPr>
        <w:spacing w:line="276" w:lineRule="auto"/>
        <w:jc w:val="both"/>
        <w:rPr>
          <w:rFonts w:ascii="Arial" w:eastAsia="Dotum" w:hAnsi="Arial" w:cs="Arial"/>
          <w:b/>
          <w:bCs/>
          <w:sz w:val="24"/>
          <w:szCs w:val="24"/>
          <w:lang w:val="es-ES" w:eastAsia="es-ES"/>
        </w:rPr>
      </w:pPr>
      <w:r w:rsidRPr="00ED339E">
        <w:rPr>
          <w:rFonts w:ascii="Arial" w:eastAsia="Dotum" w:hAnsi="Arial" w:cs="Arial"/>
          <w:b/>
          <w:bCs/>
          <w:sz w:val="24"/>
          <w:szCs w:val="24"/>
          <w:lang w:val="es-ES" w:eastAsia="es-ES"/>
        </w:rPr>
        <w:t xml:space="preserve">Demandado   </w:t>
      </w:r>
      <w:r w:rsidRPr="00ED339E">
        <w:rPr>
          <w:rFonts w:ascii="Arial" w:eastAsia="Dotum" w:hAnsi="Arial" w:cs="Arial"/>
          <w:b/>
          <w:bCs/>
          <w:sz w:val="24"/>
          <w:szCs w:val="24"/>
          <w:lang w:val="es-ES" w:eastAsia="es-ES"/>
        </w:rPr>
        <w:tab/>
        <w:t xml:space="preserve"> : </w:t>
      </w:r>
      <w:r>
        <w:rPr>
          <w:rFonts w:ascii="Arial" w:eastAsia="Dotum" w:hAnsi="Arial" w:cs="Arial"/>
          <w:b/>
          <w:bCs/>
          <w:sz w:val="24"/>
          <w:szCs w:val="24"/>
          <w:lang w:val="es-ES" w:eastAsia="es-ES"/>
        </w:rPr>
        <w:t xml:space="preserve">Omar Perea </w:t>
      </w:r>
      <w:proofErr w:type="spellStart"/>
      <w:r>
        <w:rPr>
          <w:rFonts w:ascii="Arial" w:eastAsia="Dotum" w:hAnsi="Arial" w:cs="Arial"/>
          <w:b/>
          <w:bCs/>
          <w:sz w:val="24"/>
          <w:szCs w:val="24"/>
          <w:lang w:val="es-ES" w:eastAsia="es-ES"/>
        </w:rPr>
        <w:t>Romaña</w:t>
      </w:r>
      <w:proofErr w:type="spellEnd"/>
    </w:p>
    <w:p w:rsidR="00FE7E33" w:rsidRDefault="00FE7E33" w:rsidP="00F35DFD">
      <w:pPr>
        <w:spacing w:line="276" w:lineRule="auto"/>
        <w:jc w:val="both"/>
        <w:rPr>
          <w:rFonts w:ascii="Arial" w:eastAsia="Dotum" w:hAnsi="Arial" w:cs="Arial"/>
          <w:b/>
          <w:bCs/>
          <w:sz w:val="24"/>
          <w:szCs w:val="24"/>
          <w:lang w:val="es-ES" w:eastAsia="es-ES"/>
        </w:rPr>
      </w:pPr>
      <w:r w:rsidRPr="00ED339E">
        <w:rPr>
          <w:rFonts w:ascii="Arial" w:eastAsia="Dotum" w:hAnsi="Arial" w:cs="Arial"/>
          <w:b/>
          <w:bCs/>
          <w:sz w:val="24"/>
          <w:szCs w:val="24"/>
          <w:lang w:val="es-ES" w:eastAsia="es-ES"/>
        </w:rPr>
        <w:t>Medio de control</w:t>
      </w:r>
      <w:r w:rsidRPr="00ED339E">
        <w:rPr>
          <w:rFonts w:ascii="Arial" w:eastAsia="Dotum" w:hAnsi="Arial" w:cs="Arial"/>
          <w:b/>
          <w:bCs/>
          <w:sz w:val="24"/>
          <w:szCs w:val="24"/>
          <w:lang w:val="es-ES" w:eastAsia="es-ES"/>
        </w:rPr>
        <w:tab/>
        <w:t xml:space="preserve"> : </w:t>
      </w:r>
      <w:r>
        <w:rPr>
          <w:rFonts w:ascii="Arial" w:eastAsia="Dotum" w:hAnsi="Arial" w:cs="Arial"/>
          <w:b/>
          <w:bCs/>
          <w:sz w:val="24"/>
          <w:szCs w:val="24"/>
          <w:lang w:val="es-ES" w:eastAsia="es-ES"/>
        </w:rPr>
        <w:t xml:space="preserve">Recurso extraordinario de revisión </w:t>
      </w:r>
    </w:p>
    <w:p w:rsidR="00FE7E33" w:rsidRPr="00ED339E" w:rsidRDefault="00FE7E33" w:rsidP="00F35DFD">
      <w:pPr>
        <w:spacing w:line="276" w:lineRule="auto"/>
        <w:ind w:left="1416" w:firstLine="708"/>
        <w:jc w:val="both"/>
        <w:rPr>
          <w:rFonts w:ascii="Arial" w:eastAsia="Dotum" w:hAnsi="Arial" w:cs="Arial"/>
          <w:b/>
          <w:bCs/>
          <w:sz w:val="24"/>
          <w:szCs w:val="24"/>
          <w:lang w:val="es-ES" w:eastAsia="es-ES"/>
        </w:rPr>
      </w:pPr>
      <w:r>
        <w:rPr>
          <w:rFonts w:ascii="Arial" w:eastAsia="Dotum" w:hAnsi="Arial" w:cs="Arial"/>
          <w:b/>
          <w:bCs/>
          <w:sz w:val="24"/>
          <w:szCs w:val="24"/>
          <w:lang w:val="es-ES" w:eastAsia="es-ES"/>
        </w:rPr>
        <w:t xml:space="preserve">    – artículo 20 Ley 797 de 2003</w:t>
      </w:r>
    </w:p>
    <w:p w:rsidR="00FE7E33" w:rsidRDefault="00FE7E33" w:rsidP="00F35DFD">
      <w:pPr>
        <w:ind w:left="2124" w:hanging="2124"/>
        <w:jc w:val="both"/>
        <w:rPr>
          <w:rFonts w:ascii="Arial" w:eastAsia="Times New Roman" w:hAnsi="Arial" w:cs="Arial"/>
          <w:b/>
          <w:bCs/>
          <w:sz w:val="24"/>
          <w:szCs w:val="24"/>
          <w:lang w:val="es-ES" w:eastAsia="es-ES"/>
        </w:rPr>
      </w:pPr>
      <w:r w:rsidRPr="00ED339E">
        <w:rPr>
          <w:rFonts w:ascii="Arial" w:eastAsia="Times New Roman" w:hAnsi="Arial" w:cs="Arial"/>
          <w:b/>
          <w:bCs/>
          <w:sz w:val="24"/>
          <w:szCs w:val="24"/>
          <w:lang w:val="es-ES" w:eastAsia="es-ES"/>
        </w:rPr>
        <w:t xml:space="preserve">Tema              </w:t>
      </w:r>
      <w:r w:rsidRPr="00ED339E">
        <w:rPr>
          <w:rFonts w:ascii="Arial" w:eastAsia="Times New Roman" w:hAnsi="Arial" w:cs="Arial"/>
          <w:b/>
          <w:bCs/>
          <w:sz w:val="24"/>
          <w:szCs w:val="24"/>
          <w:lang w:val="es-ES" w:eastAsia="es-ES"/>
        </w:rPr>
        <w:tab/>
        <w:t xml:space="preserve"> : </w:t>
      </w:r>
      <w:r>
        <w:rPr>
          <w:rFonts w:ascii="Arial" w:eastAsia="Times New Roman" w:hAnsi="Arial" w:cs="Arial"/>
          <w:b/>
          <w:bCs/>
          <w:sz w:val="24"/>
          <w:szCs w:val="24"/>
          <w:lang w:val="es-ES" w:eastAsia="es-ES"/>
        </w:rPr>
        <w:t xml:space="preserve">Vacaciones no son factor de salario dentro del </w:t>
      </w:r>
    </w:p>
    <w:p w:rsidR="00FE7E33" w:rsidRPr="00ED339E" w:rsidRDefault="00FE7E33" w:rsidP="00F35DFD">
      <w:pPr>
        <w:ind w:left="2124" w:hanging="2124"/>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                                   </w:t>
      </w:r>
      <w:proofErr w:type="gramStart"/>
      <w:r>
        <w:rPr>
          <w:rFonts w:ascii="Arial" w:eastAsia="Times New Roman" w:hAnsi="Arial" w:cs="Arial"/>
          <w:b/>
          <w:bCs/>
          <w:sz w:val="24"/>
          <w:szCs w:val="24"/>
          <w:lang w:val="es-ES" w:eastAsia="es-ES"/>
        </w:rPr>
        <w:t>ingreso</w:t>
      </w:r>
      <w:proofErr w:type="gramEnd"/>
      <w:r>
        <w:rPr>
          <w:rFonts w:ascii="Arial" w:eastAsia="Times New Roman" w:hAnsi="Arial" w:cs="Arial"/>
          <w:b/>
          <w:bCs/>
          <w:sz w:val="24"/>
          <w:szCs w:val="24"/>
          <w:lang w:val="es-ES" w:eastAsia="es-ES"/>
        </w:rPr>
        <w:t xml:space="preserve"> base de liquidación pensional.  </w:t>
      </w:r>
      <w:r w:rsidRPr="00ED339E">
        <w:rPr>
          <w:rFonts w:ascii="Arial" w:eastAsia="Times New Roman" w:hAnsi="Arial" w:cs="Arial"/>
          <w:b/>
          <w:bCs/>
          <w:sz w:val="24"/>
          <w:szCs w:val="24"/>
          <w:lang w:val="es-ES" w:eastAsia="es-ES"/>
        </w:rPr>
        <w:t xml:space="preserve"> </w:t>
      </w:r>
    </w:p>
    <w:p w:rsidR="00FE7E33" w:rsidRPr="00ED339E" w:rsidRDefault="00FE7E33" w:rsidP="00F35DFD">
      <w:pPr>
        <w:jc w:val="both"/>
        <w:rPr>
          <w:rFonts w:ascii="Arial" w:eastAsia="Times New Roman" w:hAnsi="Arial" w:cs="Arial"/>
          <w:bCs/>
          <w:sz w:val="24"/>
          <w:szCs w:val="24"/>
          <w:lang w:val="es-ES" w:eastAsia="es-ES"/>
        </w:rPr>
      </w:pPr>
    </w:p>
    <w:p w:rsidR="00FE7E33" w:rsidRDefault="00FE7E33" w:rsidP="00F35DFD">
      <w:pPr>
        <w:pStyle w:val="Ttulo2"/>
        <w:jc w:val="both"/>
        <w:rPr>
          <w:rFonts w:ascii="Arial" w:hAnsi="Arial" w:cs="Arial"/>
          <w:b w:val="0"/>
          <w:sz w:val="24"/>
          <w:szCs w:val="24"/>
          <w:lang w:val="es-MX"/>
        </w:rPr>
      </w:pPr>
    </w:p>
    <w:p w:rsidR="00FE7E33" w:rsidRPr="00EF7DD0" w:rsidRDefault="00FE7E33" w:rsidP="00F35DFD">
      <w:pPr>
        <w:pStyle w:val="Ttulo2"/>
        <w:jc w:val="both"/>
      </w:pPr>
      <w:r w:rsidRPr="00EF7DD0">
        <w:rPr>
          <w:rFonts w:ascii="Arial" w:hAnsi="Arial" w:cs="Arial"/>
          <w:b w:val="0"/>
          <w:sz w:val="24"/>
          <w:szCs w:val="24"/>
          <w:lang w:val="es-MX"/>
        </w:rPr>
        <w:t xml:space="preserve">Decide la Sala el recurso extraordinario de revisión interpuesto </w:t>
      </w:r>
      <w:r w:rsidRPr="00EF7DD0">
        <w:rPr>
          <w:rFonts w:ascii="Arial" w:hAnsi="Arial" w:cs="Arial"/>
          <w:b w:val="0"/>
          <w:iCs/>
          <w:sz w:val="24"/>
          <w:szCs w:val="24"/>
        </w:rPr>
        <w:t xml:space="preserve">por la Unidad Administrativa Especial de Gestión Pensional y Contribuciones Parafiscales de la Protección Social, contra la sentencia proferida </w:t>
      </w:r>
      <w:r>
        <w:rPr>
          <w:rFonts w:ascii="Arial" w:hAnsi="Arial" w:cs="Arial"/>
          <w:b w:val="0"/>
          <w:iCs/>
          <w:sz w:val="24"/>
          <w:szCs w:val="24"/>
        </w:rPr>
        <w:t xml:space="preserve">el 5 de septiembre de 2013 </w:t>
      </w:r>
      <w:r w:rsidRPr="00EF7DD0">
        <w:rPr>
          <w:rFonts w:ascii="Arial" w:hAnsi="Arial" w:cs="Arial"/>
          <w:b w:val="0"/>
          <w:iCs/>
          <w:sz w:val="24"/>
          <w:szCs w:val="24"/>
        </w:rPr>
        <w:t xml:space="preserve">por el Tribunal Administrativo </w:t>
      </w:r>
      <w:r>
        <w:rPr>
          <w:rFonts w:ascii="Arial" w:hAnsi="Arial" w:cs="Arial"/>
          <w:b w:val="0"/>
          <w:iCs/>
          <w:sz w:val="24"/>
          <w:szCs w:val="24"/>
        </w:rPr>
        <w:t>del Chocó</w:t>
      </w:r>
      <w:r w:rsidRPr="00EF7DD0">
        <w:rPr>
          <w:rFonts w:ascii="Arial" w:hAnsi="Arial" w:cs="Arial"/>
          <w:b w:val="0"/>
          <w:iCs/>
          <w:sz w:val="24"/>
          <w:szCs w:val="24"/>
        </w:rPr>
        <w:t xml:space="preserve">, por la cual se confirmó </w:t>
      </w:r>
      <w:r>
        <w:rPr>
          <w:rFonts w:ascii="Arial" w:hAnsi="Arial" w:cs="Arial"/>
          <w:b w:val="0"/>
          <w:iCs/>
          <w:sz w:val="24"/>
          <w:szCs w:val="24"/>
        </w:rPr>
        <w:t>el fallo</w:t>
      </w:r>
      <w:r w:rsidRPr="00EF7DD0">
        <w:rPr>
          <w:rFonts w:ascii="Arial" w:hAnsi="Arial" w:cs="Arial"/>
          <w:b w:val="0"/>
          <w:iCs/>
          <w:sz w:val="24"/>
          <w:szCs w:val="24"/>
        </w:rPr>
        <w:t xml:space="preserve"> del </w:t>
      </w:r>
      <w:r>
        <w:rPr>
          <w:rFonts w:ascii="Arial" w:hAnsi="Arial" w:cs="Arial"/>
          <w:b w:val="0"/>
          <w:iCs/>
          <w:sz w:val="24"/>
          <w:szCs w:val="24"/>
        </w:rPr>
        <w:t>19 de diciembre de 2012</w:t>
      </w:r>
      <w:r w:rsidRPr="00EF7DD0">
        <w:rPr>
          <w:rFonts w:ascii="Arial" w:hAnsi="Arial" w:cs="Arial"/>
          <w:b w:val="0"/>
          <w:iCs/>
          <w:sz w:val="24"/>
          <w:szCs w:val="24"/>
        </w:rPr>
        <w:t>, emitid</w:t>
      </w:r>
      <w:r>
        <w:rPr>
          <w:rFonts w:ascii="Arial" w:hAnsi="Arial" w:cs="Arial"/>
          <w:b w:val="0"/>
          <w:iCs/>
          <w:sz w:val="24"/>
          <w:szCs w:val="24"/>
        </w:rPr>
        <w:t>o</w:t>
      </w:r>
      <w:r w:rsidRPr="00EF7DD0">
        <w:rPr>
          <w:rFonts w:ascii="Arial" w:hAnsi="Arial" w:cs="Arial"/>
          <w:b w:val="0"/>
          <w:iCs/>
          <w:sz w:val="24"/>
          <w:szCs w:val="24"/>
        </w:rPr>
        <w:t xml:space="preserve"> por el Juzgado </w:t>
      </w:r>
      <w:r>
        <w:rPr>
          <w:rFonts w:ascii="Arial" w:hAnsi="Arial" w:cs="Arial"/>
          <w:b w:val="0"/>
          <w:iCs/>
          <w:sz w:val="24"/>
          <w:szCs w:val="24"/>
        </w:rPr>
        <w:t>Sexto</w:t>
      </w:r>
      <w:r w:rsidRPr="00EF7DD0">
        <w:rPr>
          <w:rFonts w:ascii="Arial" w:hAnsi="Arial" w:cs="Arial"/>
          <w:b w:val="0"/>
          <w:iCs/>
          <w:sz w:val="24"/>
          <w:szCs w:val="24"/>
        </w:rPr>
        <w:t xml:space="preserve"> Administrativo </w:t>
      </w:r>
      <w:r>
        <w:rPr>
          <w:rFonts w:ascii="Arial" w:hAnsi="Arial" w:cs="Arial"/>
          <w:b w:val="0"/>
          <w:iCs/>
          <w:sz w:val="24"/>
          <w:szCs w:val="24"/>
        </w:rPr>
        <w:t xml:space="preserve">de Descongestión </w:t>
      </w:r>
      <w:r w:rsidRPr="00EF7DD0">
        <w:rPr>
          <w:rFonts w:ascii="Arial" w:hAnsi="Arial" w:cs="Arial"/>
          <w:b w:val="0"/>
          <w:iCs/>
          <w:sz w:val="24"/>
          <w:szCs w:val="24"/>
        </w:rPr>
        <w:t xml:space="preserve">de </w:t>
      </w:r>
      <w:r>
        <w:rPr>
          <w:rFonts w:ascii="Arial" w:hAnsi="Arial" w:cs="Arial"/>
          <w:b w:val="0"/>
          <w:iCs/>
          <w:sz w:val="24"/>
          <w:szCs w:val="24"/>
        </w:rPr>
        <w:t>Quibdó</w:t>
      </w:r>
      <w:r w:rsidRPr="00EF7DD0">
        <w:rPr>
          <w:rFonts w:ascii="Arial" w:hAnsi="Arial" w:cs="Arial"/>
          <w:b w:val="0"/>
          <w:iCs/>
          <w:sz w:val="24"/>
          <w:szCs w:val="24"/>
        </w:rPr>
        <w:t xml:space="preserve"> </w:t>
      </w:r>
      <w:r>
        <w:rPr>
          <w:rFonts w:ascii="Arial" w:hAnsi="Arial" w:cs="Arial"/>
          <w:b w:val="0"/>
          <w:iCs/>
          <w:sz w:val="24"/>
          <w:szCs w:val="24"/>
        </w:rPr>
        <w:t xml:space="preserve">que </w:t>
      </w:r>
      <w:r w:rsidRPr="00EF7DD0">
        <w:rPr>
          <w:rFonts w:ascii="Arial" w:hAnsi="Arial" w:cs="Arial"/>
          <w:b w:val="0"/>
          <w:iCs/>
          <w:sz w:val="24"/>
          <w:szCs w:val="24"/>
        </w:rPr>
        <w:t xml:space="preserve">accedió a las pretensiones de la demanda de </w:t>
      </w:r>
      <w:r w:rsidRPr="00EF7DD0">
        <w:rPr>
          <w:rFonts w:ascii="Arial" w:hAnsi="Arial" w:cs="Arial"/>
          <w:b w:val="0"/>
          <w:iCs/>
          <w:sz w:val="24"/>
          <w:szCs w:val="24"/>
        </w:rPr>
        <w:lastRenderedPageBreak/>
        <w:t xml:space="preserve">nulidad y restablecimiento del derecho formulada por el señor </w:t>
      </w:r>
      <w:r>
        <w:rPr>
          <w:rFonts w:ascii="Arial" w:hAnsi="Arial" w:cs="Arial"/>
          <w:b w:val="0"/>
          <w:iCs/>
          <w:sz w:val="24"/>
          <w:szCs w:val="24"/>
        </w:rPr>
        <w:t xml:space="preserve">Omar Perea </w:t>
      </w:r>
      <w:proofErr w:type="spellStart"/>
      <w:r>
        <w:rPr>
          <w:rFonts w:ascii="Arial" w:hAnsi="Arial" w:cs="Arial"/>
          <w:b w:val="0"/>
          <w:iCs/>
          <w:sz w:val="24"/>
          <w:szCs w:val="24"/>
        </w:rPr>
        <w:t>Romaña</w:t>
      </w:r>
      <w:proofErr w:type="spellEnd"/>
      <w:r>
        <w:rPr>
          <w:rFonts w:ascii="Arial" w:hAnsi="Arial" w:cs="Arial"/>
          <w:b w:val="0"/>
          <w:iCs/>
          <w:sz w:val="24"/>
          <w:szCs w:val="24"/>
        </w:rPr>
        <w:t xml:space="preserve">. </w:t>
      </w:r>
    </w:p>
    <w:p w:rsidR="00FE7E33" w:rsidRDefault="00FE7E33" w:rsidP="00FE7E33">
      <w:pPr>
        <w:pStyle w:val="Ttulo2"/>
        <w:numPr>
          <w:ilvl w:val="0"/>
          <w:numId w:val="1"/>
        </w:numPr>
        <w:ind w:left="0" w:firstLine="0"/>
        <w:rPr>
          <w:rFonts w:ascii="Arial" w:eastAsia="Calibri" w:hAnsi="Arial" w:cs="Arial"/>
          <w:sz w:val="24"/>
          <w:szCs w:val="24"/>
        </w:rPr>
      </w:pPr>
      <w:r w:rsidRPr="00ED339E">
        <w:rPr>
          <w:rFonts w:ascii="Arial" w:eastAsia="Calibri" w:hAnsi="Arial" w:cs="Arial"/>
          <w:sz w:val="24"/>
          <w:szCs w:val="24"/>
        </w:rPr>
        <w:t>ANTECEDENTES</w:t>
      </w:r>
    </w:p>
    <w:p w:rsidR="00FE7E33" w:rsidRPr="001E3D85" w:rsidRDefault="00FE7E33" w:rsidP="00F35DFD"/>
    <w:p w:rsidR="00FE7E33" w:rsidRDefault="00FE7E33" w:rsidP="00F35DFD">
      <w:pPr>
        <w:spacing w:line="360" w:lineRule="auto"/>
        <w:jc w:val="both"/>
        <w:rPr>
          <w:rFonts w:ascii="Arial" w:hAnsi="Arial" w:cs="Arial"/>
          <w:sz w:val="24"/>
          <w:szCs w:val="24"/>
        </w:rPr>
      </w:pPr>
      <w:r>
        <w:rPr>
          <w:rFonts w:ascii="Arial" w:hAnsi="Arial" w:cs="Arial"/>
          <w:sz w:val="24"/>
          <w:szCs w:val="24"/>
        </w:rPr>
        <w:t xml:space="preserve">El señor Omar Perea </w:t>
      </w:r>
      <w:proofErr w:type="spellStart"/>
      <w:r>
        <w:rPr>
          <w:rFonts w:ascii="Arial" w:hAnsi="Arial" w:cs="Arial"/>
          <w:sz w:val="24"/>
          <w:szCs w:val="24"/>
        </w:rPr>
        <w:t>Romaña</w:t>
      </w:r>
      <w:proofErr w:type="spellEnd"/>
      <w:r>
        <w:rPr>
          <w:rFonts w:ascii="Arial" w:hAnsi="Arial" w:cs="Arial"/>
          <w:sz w:val="24"/>
          <w:szCs w:val="24"/>
        </w:rPr>
        <w:t xml:space="preserve"> presentó demanda solicitando se declarara la nulidad de las </w:t>
      </w:r>
      <w:r w:rsidRPr="001E3D85">
        <w:rPr>
          <w:rFonts w:ascii="Arial" w:hAnsi="Arial" w:cs="Arial"/>
          <w:sz w:val="24"/>
          <w:szCs w:val="24"/>
        </w:rPr>
        <w:t xml:space="preserve">resoluciones </w:t>
      </w:r>
      <w:r>
        <w:rPr>
          <w:rFonts w:ascii="Arial" w:hAnsi="Arial" w:cs="Arial"/>
          <w:sz w:val="24"/>
          <w:szCs w:val="24"/>
        </w:rPr>
        <w:t>044365 de 20 de diciembre de 1993, 16660 de 2 de junio de 2002 y PAP 056953 de 10 de junio de 2011,</w:t>
      </w:r>
      <w:r w:rsidRPr="001E3D85">
        <w:rPr>
          <w:rFonts w:ascii="Arial" w:hAnsi="Arial" w:cs="Arial"/>
          <w:sz w:val="24"/>
          <w:szCs w:val="24"/>
        </w:rPr>
        <w:t xml:space="preserve"> y </w:t>
      </w:r>
      <w:r>
        <w:rPr>
          <w:rFonts w:ascii="Arial" w:hAnsi="Arial" w:cs="Arial"/>
          <w:sz w:val="24"/>
          <w:szCs w:val="24"/>
        </w:rPr>
        <w:t xml:space="preserve">para que </w:t>
      </w:r>
      <w:r w:rsidRPr="001E3D85">
        <w:rPr>
          <w:rFonts w:ascii="Arial" w:hAnsi="Arial" w:cs="Arial"/>
          <w:sz w:val="24"/>
          <w:szCs w:val="24"/>
        </w:rPr>
        <w:t>a título de restablecimiento del derecho se ordenar</w:t>
      </w:r>
      <w:r>
        <w:rPr>
          <w:rFonts w:ascii="Arial" w:hAnsi="Arial" w:cs="Arial"/>
          <w:sz w:val="24"/>
          <w:szCs w:val="24"/>
        </w:rPr>
        <w:t>á</w:t>
      </w:r>
      <w:r w:rsidRPr="001E3D85">
        <w:rPr>
          <w:rFonts w:ascii="Arial" w:hAnsi="Arial" w:cs="Arial"/>
          <w:sz w:val="24"/>
          <w:szCs w:val="24"/>
        </w:rPr>
        <w:t xml:space="preserve"> a la </w:t>
      </w:r>
      <w:r w:rsidRPr="00F70CA1">
        <w:rPr>
          <w:rFonts w:ascii="Arial" w:hAnsi="Arial" w:cs="Arial"/>
          <w:sz w:val="24"/>
          <w:szCs w:val="24"/>
        </w:rPr>
        <w:t>UGPP</w:t>
      </w:r>
      <w:r>
        <w:rPr>
          <w:rFonts w:ascii="Arial" w:hAnsi="Arial" w:cs="Arial"/>
          <w:sz w:val="24"/>
          <w:szCs w:val="24"/>
        </w:rPr>
        <w:t xml:space="preserve"> </w:t>
      </w:r>
      <w:proofErr w:type="spellStart"/>
      <w:r>
        <w:rPr>
          <w:rFonts w:ascii="Arial" w:hAnsi="Arial" w:cs="Arial"/>
          <w:sz w:val="24"/>
          <w:szCs w:val="24"/>
        </w:rPr>
        <w:t>reliquidar</w:t>
      </w:r>
      <w:proofErr w:type="spellEnd"/>
      <w:r>
        <w:rPr>
          <w:rFonts w:ascii="Arial" w:hAnsi="Arial" w:cs="Arial"/>
          <w:sz w:val="24"/>
          <w:szCs w:val="24"/>
        </w:rPr>
        <w:t xml:space="preserve"> su pensión con la inclusión de todos los factores salariales devengados durante el último año de servicios.</w:t>
      </w:r>
    </w:p>
    <w:p w:rsidR="00FE7E33" w:rsidRPr="00ED339E" w:rsidRDefault="00FE7E33" w:rsidP="00F35DFD">
      <w:pPr>
        <w:jc w:val="both"/>
        <w:rPr>
          <w:rFonts w:ascii="Arial" w:hAnsi="Arial" w:cs="Arial"/>
          <w:sz w:val="24"/>
          <w:szCs w:val="24"/>
        </w:rPr>
      </w:pPr>
    </w:p>
    <w:p w:rsidR="00FE7E33" w:rsidRPr="002F1876" w:rsidRDefault="00FE7E33" w:rsidP="00F35DFD">
      <w:pPr>
        <w:spacing w:line="360" w:lineRule="auto"/>
        <w:jc w:val="both"/>
        <w:rPr>
          <w:rFonts w:ascii="Arial" w:hAnsi="Arial" w:cs="Arial"/>
          <w:sz w:val="24"/>
          <w:szCs w:val="24"/>
        </w:rPr>
      </w:pPr>
      <w:r>
        <w:rPr>
          <w:rFonts w:ascii="Arial" w:hAnsi="Arial" w:cs="Arial"/>
          <w:sz w:val="24"/>
          <w:szCs w:val="24"/>
        </w:rPr>
        <w:t xml:space="preserve">Mediante sentencia de 19 de diciembre de 2012, el Juzgado Sexto Administrativo de Descongestión de Quibdó accedió a las súplicas de la demanda declarando la nulidad parcial de los actos acusados y ordenando la reliquidación de la pensión </w:t>
      </w:r>
      <w:r w:rsidRPr="002F1876">
        <w:rPr>
          <w:rFonts w:ascii="Arial" w:hAnsi="Arial" w:cs="Arial"/>
          <w:i/>
        </w:rPr>
        <w:t>“</w:t>
      </w:r>
      <w:r>
        <w:rPr>
          <w:rFonts w:ascii="Arial" w:hAnsi="Arial" w:cs="Arial"/>
          <w:i/>
        </w:rPr>
        <w:t xml:space="preserve">en cuantía equivalente del 75% del promedio mensual devengado durante el último año de servicios, teniendo en cuenta como factores salariales, además de la asignación básica y la bonificación por servicios prestados, los demás emolumentos por él recibidos tales como prima de alimentación, vacaciones, prima de vacaciones y demás certificados por su empleador”; </w:t>
      </w:r>
      <w:r>
        <w:rPr>
          <w:rFonts w:ascii="Arial" w:hAnsi="Arial" w:cs="Arial"/>
          <w:sz w:val="24"/>
          <w:szCs w:val="24"/>
        </w:rPr>
        <w:t>Decisión que fue confirmada por el Tribunal Administrativo del Chocó en fallo de 5 de septiembre de 2013, y en cumplimiento de dicha orden la UGPP expidió la Resolución RDP 0049321 de 23 de octubre de 2013.</w:t>
      </w:r>
    </w:p>
    <w:p w:rsidR="00FE7E33" w:rsidRDefault="00FE7E33" w:rsidP="00F35DFD">
      <w:pPr>
        <w:jc w:val="both"/>
        <w:rPr>
          <w:rFonts w:ascii="Arial" w:hAnsi="Arial" w:cs="Arial"/>
          <w:b/>
          <w:sz w:val="24"/>
          <w:szCs w:val="24"/>
        </w:rPr>
      </w:pPr>
    </w:p>
    <w:p w:rsidR="00FE7E33" w:rsidRPr="000C1575" w:rsidRDefault="00FE7E33" w:rsidP="00F35DFD">
      <w:pPr>
        <w:jc w:val="both"/>
        <w:rPr>
          <w:rFonts w:ascii="Arial" w:hAnsi="Arial" w:cs="Arial"/>
          <w:b/>
          <w:sz w:val="24"/>
          <w:szCs w:val="24"/>
        </w:rPr>
      </w:pPr>
      <w:r>
        <w:rPr>
          <w:rFonts w:ascii="Arial" w:hAnsi="Arial" w:cs="Arial"/>
          <w:b/>
          <w:sz w:val="24"/>
          <w:szCs w:val="24"/>
        </w:rPr>
        <w:t xml:space="preserve">1. </w:t>
      </w:r>
      <w:r w:rsidRPr="000C1575">
        <w:rPr>
          <w:rFonts w:ascii="Arial" w:hAnsi="Arial" w:cs="Arial"/>
          <w:b/>
          <w:sz w:val="24"/>
          <w:szCs w:val="24"/>
        </w:rPr>
        <w:t>La sentencia objeto de revisión</w:t>
      </w:r>
    </w:p>
    <w:p w:rsidR="00FE7E33" w:rsidRPr="00ED339E" w:rsidRDefault="00FE7E33" w:rsidP="00F35DFD">
      <w:pPr>
        <w:jc w:val="both"/>
        <w:rPr>
          <w:rFonts w:ascii="Arial" w:hAnsi="Arial" w:cs="Arial"/>
          <w:b/>
          <w:color w:val="FF0000"/>
          <w:sz w:val="24"/>
          <w:szCs w:val="24"/>
        </w:rPr>
      </w:pPr>
    </w:p>
    <w:p w:rsidR="00FE7E33" w:rsidRDefault="00FE7E33" w:rsidP="00F35DFD">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sz w:val="24"/>
          <w:szCs w:val="24"/>
        </w:rPr>
      </w:pPr>
      <w:r w:rsidRPr="000C1575">
        <w:rPr>
          <w:rFonts w:ascii="Arial" w:hAnsi="Arial" w:cs="Arial"/>
          <w:iCs/>
          <w:sz w:val="24"/>
          <w:szCs w:val="24"/>
        </w:rPr>
        <w:t>El Tribunal Administrativo de</w:t>
      </w:r>
      <w:r>
        <w:rPr>
          <w:rFonts w:ascii="Arial" w:hAnsi="Arial" w:cs="Arial"/>
          <w:iCs/>
          <w:sz w:val="24"/>
          <w:szCs w:val="24"/>
        </w:rPr>
        <w:t xml:space="preserve">l Chocó, en sentencia de 5 de septiembre de 2013, </w:t>
      </w:r>
      <w:r w:rsidRPr="000C1575">
        <w:rPr>
          <w:rFonts w:ascii="Arial" w:hAnsi="Arial" w:cs="Arial"/>
          <w:iCs/>
          <w:sz w:val="24"/>
          <w:szCs w:val="24"/>
        </w:rPr>
        <w:t xml:space="preserve">confirmó </w:t>
      </w:r>
      <w:r>
        <w:rPr>
          <w:rFonts w:ascii="Arial" w:hAnsi="Arial" w:cs="Arial"/>
          <w:iCs/>
          <w:sz w:val="24"/>
          <w:szCs w:val="24"/>
        </w:rPr>
        <w:t xml:space="preserve">lo decidido por el Juzgado, al considerar que </w:t>
      </w:r>
      <w:r w:rsidRPr="00ED339E">
        <w:rPr>
          <w:rFonts w:ascii="Arial" w:hAnsi="Arial" w:cs="Arial"/>
          <w:sz w:val="24"/>
          <w:szCs w:val="24"/>
        </w:rPr>
        <w:t>los actos demandados son nulos porque en la liquidación de la mesada pensional se de</w:t>
      </w:r>
      <w:r>
        <w:rPr>
          <w:rFonts w:ascii="Arial" w:hAnsi="Arial" w:cs="Arial"/>
          <w:sz w:val="24"/>
          <w:szCs w:val="24"/>
        </w:rPr>
        <w:t>bían</w:t>
      </w:r>
      <w:r w:rsidRPr="00ED339E">
        <w:rPr>
          <w:rFonts w:ascii="Arial" w:hAnsi="Arial" w:cs="Arial"/>
          <w:sz w:val="24"/>
          <w:szCs w:val="24"/>
        </w:rPr>
        <w:t xml:space="preserve"> </w:t>
      </w:r>
      <w:r>
        <w:rPr>
          <w:rFonts w:ascii="Arial" w:hAnsi="Arial" w:cs="Arial"/>
          <w:sz w:val="24"/>
          <w:szCs w:val="24"/>
        </w:rPr>
        <w:t xml:space="preserve">incluir todos los factores salariales devengados por el señor Omar Perea </w:t>
      </w:r>
      <w:proofErr w:type="spellStart"/>
      <w:r>
        <w:rPr>
          <w:rFonts w:ascii="Arial" w:hAnsi="Arial" w:cs="Arial"/>
          <w:sz w:val="24"/>
          <w:szCs w:val="24"/>
        </w:rPr>
        <w:t>Romaña</w:t>
      </w:r>
      <w:proofErr w:type="spellEnd"/>
      <w:r>
        <w:rPr>
          <w:rFonts w:ascii="Arial" w:hAnsi="Arial" w:cs="Arial"/>
          <w:sz w:val="24"/>
          <w:szCs w:val="24"/>
        </w:rPr>
        <w:t xml:space="preserve"> en el último año de servicios</w:t>
      </w:r>
      <w:r>
        <w:rPr>
          <w:rStyle w:val="Refdenotaalpie"/>
          <w:rFonts w:ascii="Arial" w:hAnsi="Arial" w:cs="Arial"/>
          <w:sz w:val="24"/>
          <w:szCs w:val="24"/>
        </w:rPr>
        <w:footnoteReference w:id="1"/>
      </w:r>
      <w:r>
        <w:rPr>
          <w:rFonts w:ascii="Arial" w:hAnsi="Arial" w:cs="Arial"/>
          <w:sz w:val="24"/>
          <w:szCs w:val="24"/>
        </w:rPr>
        <w:t>.</w:t>
      </w:r>
    </w:p>
    <w:p w:rsidR="00FE7E33" w:rsidRDefault="00FE7E33" w:rsidP="00F35DFD">
      <w:pPr>
        <w:rPr>
          <w:rFonts w:ascii="Arial" w:hAnsi="Arial" w:cs="Arial"/>
          <w:b/>
          <w:sz w:val="24"/>
          <w:szCs w:val="24"/>
        </w:rPr>
      </w:pPr>
    </w:p>
    <w:p w:rsidR="00FE7E33" w:rsidRPr="00A91E8F" w:rsidRDefault="00FE7E33" w:rsidP="00F35DFD">
      <w:pPr>
        <w:spacing w:line="360" w:lineRule="auto"/>
        <w:rPr>
          <w:rFonts w:ascii="Arial" w:hAnsi="Arial" w:cs="Arial"/>
          <w:b/>
          <w:sz w:val="24"/>
          <w:szCs w:val="24"/>
        </w:rPr>
      </w:pPr>
      <w:r>
        <w:rPr>
          <w:rFonts w:ascii="Arial" w:hAnsi="Arial" w:cs="Arial"/>
          <w:b/>
          <w:sz w:val="24"/>
          <w:szCs w:val="24"/>
        </w:rPr>
        <w:t>2. El recurso de revisión</w:t>
      </w:r>
    </w:p>
    <w:p w:rsidR="00FE7E33" w:rsidRPr="00A91E8F" w:rsidRDefault="00FE7E33" w:rsidP="00F35DFD">
      <w:pPr>
        <w:jc w:val="both"/>
        <w:rPr>
          <w:rFonts w:ascii="Arial" w:hAnsi="Arial" w:cs="Arial"/>
          <w:sz w:val="24"/>
          <w:szCs w:val="24"/>
        </w:rPr>
      </w:pPr>
    </w:p>
    <w:p w:rsidR="00FE7E33" w:rsidRPr="00A91E8F" w:rsidRDefault="00FE7E33" w:rsidP="00F35DFD">
      <w:pPr>
        <w:spacing w:line="360" w:lineRule="auto"/>
        <w:jc w:val="both"/>
        <w:rPr>
          <w:rFonts w:ascii="Arial" w:hAnsi="Arial" w:cs="Arial"/>
          <w:sz w:val="24"/>
          <w:szCs w:val="24"/>
        </w:rPr>
      </w:pPr>
      <w:r>
        <w:rPr>
          <w:rFonts w:ascii="Arial" w:hAnsi="Arial" w:cs="Arial"/>
          <w:sz w:val="24"/>
          <w:szCs w:val="24"/>
        </w:rPr>
        <w:t>La UGPP</w:t>
      </w:r>
      <w:r w:rsidRPr="00A91E8F">
        <w:rPr>
          <w:rFonts w:ascii="Arial" w:hAnsi="Arial" w:cs="Arial"/>
          <w:sz w:val="24"/>
          <w:szCs w:val="24"/>
        </w:rPr>
        <w:t xml:space="preserve"> invocó la</w:t>
      </w:r>
      <w:r>
        <w:rPr>
          <w:rFonts w:ascii="Arial" w:hAnsi="Arial" w:cs="Arial"/>
          <w:sz w:val="24"/>
          <w:szCs w:val="24"/>
        </w:rPr>
        <w:t xml:space="preserve"> causal prevista en el literal</w:t>
      </w:r>
      <w:r w:rsidRPr="00A91E8F">
        <w:rPr>
          <w:rFonts w:ascii="Arial" w:hAnsi="Arial" w:cs="Arial"/>
          <w:sz w:val="24"/>
          <w:szCs w:val="24"/>
        </w:rPr>
        <w:t xml:space="preserve"> b) del artículo 20 de la Ley 797 de 2003</w:t>
      </w:r>
      <w:r>
        <w:rPr>
          <w:rStyle w:val="Refdenotaalpie"/>
          <w:rFonts w:ascii="Arial" w:hAnsi="Arial" w:cs="Arial"/>
          <w:sz w:val="24"/>
          <w:szCs w:val="24"/>
        </w:rPr>
        <w:footnoteReference w:id="2"/>
      </w:r>
      <w:r>
        <w:rPr>
          <w:rFonts w:ascii="Arial" w:hAnsi="Arial" w:cs="Arial"/>
          <w:sz w:val="24"/>
          <w:szCs w:val="24"/>
        </w:rPr>
        <w:t>. Así, d</w:t>
      </w:r>
      <w:r w:rsidRPr="00A91E8F">
        <w:rPr>
          <w:rFonts w:ascii="Arial" w:hAnsi="Arial" w:cs="Arial"/>
          <w:sz w:val="24"/>
          <w:szCs w:val="24"/>
        </w:rPr>
        <w:t xml:space="preserve">estacó que </w:t>
      </w:r>
      <w:r>
        <w:rPr>
          <w:rFonts w:ascii="Arial" w:hAnsi="Arial" w:cs="Arial"/>
          <w:sz w:val="24"/>
          <w:szCs w:val="24"/>
        </w:rPr>
        <w:t xml:space="preserve">la </w:t>
      </w:r>
      <w:r w:rsidRPr="00A91E8F">
        <w:rPr>
          <w:rFonts w:ascii="Arial" w:hAnsi="Arial" w:cs="Arial"/>
          <w:sz w:val="24"/>
          <w:szCs w:val="24"/>
        </w:rPr>
        <w:t xml:space="preserve">decisión </w:t>
      </w:r>
      <w:r>
        <w:rPr>
          <w:rFonts w:ascii="Arial" w:hAnsi="Arial" w:cs="Arial"/>
          <w:sz w:val="24"/>
          <w:szCs w:val="24"/>
        </w:rPr>
        <w:t xml:space="preserve">del Tribunal </w:t>
      </w:r>
      <w:r w:rsidRPr="00A91E8F">
        <w:rPr>
          <w:rFonts w:ascii="Arial" w:hAnsi="Arial" w:cs="Arial"/>
          <w:sz w:val="24"/>
          <w:szCs w:val="24"/>
        </w:rPr>
        <w:t xml:space="preserve">desconoce el precedente del Consejo de Estado, según el cual para el cálculo de las pensiones </w:t>
      </w:r>
      <w:r>
        <w:rPr>
          <w:rFonts w:ascii="Arial" w:hAnsi="Arial" w:cs="Arial"/>
          <w:sz w:val="24"/>
          <w:szCs w:val="24"/>
        </w:rPr>
        <w:t xml:space="preserve">no </w:t>
      </w:r>
      <w:r w:rsidRPr="00A91E8F">
        <w:rPr>
          <w:rFonts w:ascii="Arial" w:hAnsi="Arial" w:cs="Arial"/>
          <w:sz w:val="24"/>
          <w:szCs w:val="24"/>
        </w:rPr>
        <w:t>se debe</w:t>
      </w:r>
      <w:r>
        <w:rPr>
          <w:rFonts w:ascii="Arial" w:hAnsi="Arial" w:cs="Arial"/>
          <w:sz w:val="24"/>
          <w:szCs w:val="24"/>
        </w:rPr>
        <w:t xml:space="preserve"> tener en cuenta las vacaciones pues no constituye factor salarial. </w:t>
      </w:r>
      <w:r w:rsidRPr="00A91E8F">
        <w:rPr>
          <w:rFonts w:ascii="Arial" w:hAnsi="Arial" w:cs="Arial"/>
          <w:sz w:val="24"/>
          <w:szCs w:val="24"/>
        </w:rPr>
        <w:t xml:space="preserve">Sobre el particular, citó las sentencias de esta Corporación del </w:t>
      </w:r>
      <w:r>
        <w:rPr>
          <w:rFonts w:ascii="Arial" w:hAnsi="Arial" w:cs="Arial"/>
          <w:sz w:val="24"/>
          <w:szCs w:val="24"/>
        </w:rPr>
        <w:t xml:space="preserve">21 de junio de 2007, expediente 9834-2005, M.P. Alejandro Ordoñez Maldonado; del 21 de octubre de 2010, expediente 0857-2009, M.P- Gustavo Eduardo Gómez Aranguren; y del 7 de octubre de 2010, expediente 1673-2009, M.P. Luis Rafael Vergara Quintero. </w:t>
      </w:r>
    </w:p>
    <w:p w:rsidR="00FE7E33" w:rsidRDefault="00FE7E33" w:rsidP="00F35DFD">
      <w:pPr>
        <w:jc w:val="both"/>
        <w:rPr>
          <w:rFonts w:ascii="Arial" w:hAnsi="Arial" w:cs="Arial"/>
          <w:sz w:val="24"/>
          <w:szCs w:val="24"/>
        </w:rPr>
      </w:pPr>
    </w:p>
    <w:p w:rsidR="00FE7E33" w:rsidRPr="009F2256" w:rsidRDefault="00FE7E33" w:rsidP="00F35DFD">
      <w:pPr>
        <w:spacing w:line="360" w:lineRule="auto"/>
        <w:rPr>
          <w:rFonts w:ascii="Arial" w:hAnsi="Arial" w:cs="Arial"/>
          <w:b/>
          <w:sz w:val="24"/>
          <w:szCs w:val="24"/>
        </w:rPr>
      </w:pPr>
      <w:r>
        <w:rPr>
          <w:rFonts w:ascii="Arial" w:hAnsi="Arial" w:cs="Arial"/>
          <w:b/>
          <w:sz w:val="24"/>
          <w:szCs w:val="24"/>
        </w:rPr>
        <w:t xml:space="preserve">3. </w:t>
      </w:r>
      <w:r w:rsidRPr="009F2256">
        <w:rPr>
          <w:rFonts w:ascii="Arial" w:hAnsi="Arial" w:cs="Arial"/>
          <w:b/>
          <w:sz w:val="24"/>
          <w:szCs w:val="24"/>
        </w:rPr>
        <w:t>Trámite procesal</w:t>
      </w:r>
    </w:p>
    <w:p w:rsidR="00FE7E33" w:rsidRPr="00481C27" w:rsidRDefault="00FE7E33" w:rsidP="00F35DFD">
      <w:pPr>
        <w:ind w:left="720"/>
        <w:rPr>
          <w:rFonts w:ascii="Arial" w:hAnsi="Arial" w:cs="Arial"/>
          <w:sz w:val="24"/>
          <w:szCs w:val="24"/>
          <w:highlight w:val="cyan"/>
        </w:rPr>
      </w:pPr>
    </w:p>
    <w:p w:rsidR="00FE7E33" w:rsidRPr="009F2256" w:rsidRDefault="00FE7E33" w:rsidP="00F35DFD">
      <w:pPr>
        <w:widowControl w:val="0"/>
        <w:spacing w:line="360" w:lineRule="auto"/>
        <w:jc w:val="both"/>
        <w:rPr>
          <w:rFonts w:ascii="Arial" w:hAnsi="Arial" w:cs="Arial"/>
          <w:sz w:val="24"/>
          <w:szCs w:val="24"/>
        </w:rPr>
      </w:pPr>
      <w:r w:rsidRPr="009F2256">
        <w:rPr>
          <w:rFonts w:ascii="Arial" w:hAnsi="Arial" w:cs="Arial"/>
          <w:sz w:val="24"/>
          <w:szCs w:val="24"/>
        </w:rPr>
        <w:t>Con auto del 2</w:t>
      </w:r>
      <w:r>
        <w:rPr>
          <w:rFonts w:ascii="Arial" w:hAnsi="Arial" w:cs="Arial"/>
          <w:sz w:val="24"/>
          <w:szCs w:val="24"/>
        </w:rPr>
        <w:t>7 de abril de 2016, e</w:t>
      </w:r>
      <w:r w:rsidRPr="009F2256">
        <w:rPr>
          <w:rFonts w:ascii="Arial" w:hAnsi="Arial" w:cs="Arial"/>
          <w:sz w:val="24"/>
          <w:szCs w:val="24"/>
        </w:rPr>
        <w:t xml:space="preserve">l Despacho Sustanciador admitió el recurso extraordinario de revisión presentado por </w:t>
      </w:r>
      <w:r>
        <w:rPr>
          <w:rFonts w:ascii="Arial" w:hAnsi="Arial" w:cs="Arial"/>
          <w:sz w:val="24"/>
          <w:szCs w:val="24"/>
        </w:rPr>
        <w:t>la UGPP</w:t>
      </w:r>
      <w:r w:rsidRPr="009F2256">
        <w:rPr>
          <w:rFonts w:ascii="Arial" w:hAnsi="Arial" w:cs="Arial"/>
          <w:sz w:val="24"/>
          <w:szCs w:val="24"/>
        </w:rPr>
        <w:t xml:space="preserve">, y a través del auto del </w:t>
      </w:r>
      <w:r>
        <w:rPr>
          <w:rFonts w:ascii="Arial" w:hAnsi="Arial" w:cs="Arial"/>
          <w:sz w:val="24"/>
          <w:szCs w:val="24"/>
        </w:rPr>
        <w:t>7 de noviembre de 2019</w:t>
      </w:r>
      <w:r w:rsidRPr="009F2256">
        <w:rPr>
          <w:rFonts w:ascii="Arial" w:hAnsi="Arial" w:cs="Arial"/>
          <w:sz w:val="24"/>
          <w:szCs w:val="24"/>
        </w:rPr>
        <w:t xml:space="preserve"> se decidió sobre el decreto y práctica de pruebas</w:t>
      </w:r>
      <w:r>
        <w:rPr>
          <w:rStyle w:val="Refdenotaalpie"/>
          <w:rFonts w:ascii="Arial" w:hAnsi="Arial"/>
          <w:szCs w:val="24"/>
        </w:rPr>
        <w:footnoteReference w:id="3"/>
      </w:r>
      <w:r w:rsidRPr="009F2256">
        <w:rPr>
          <w:rFonts w:ascii="Arial" w:hAnsi="Arial" w:cs="Arial"/>
          <w:sz w:val="24"/>
          <w:szCs w:val="24"/>
        </w:rPr>
        <w:t>.</w:t>
      </w:r>
    </w:p>
    <w:p w:rsidR="00FE7E33" w:rsidRPr="00ED339E" w:rsidRDefault="00FE7E33" w:rsidP="00F35DFD">
      <w:pPr>
        <w:jc w:val="both"/>
        <w:rPr>
          <w:rFonts w:ascii="Arial" w:hAnsi="Arial" w:cs="Arial"/>
          <w:sz w:val="24"/>
          <w:szCs w:val="24"/>
        </w:rPr>
      </w:pPr>
    </w:p>
    <w:p w:rsidR="00FE7E33" w:rsidRPr="00ED339E" w:rsidRDefault="00FE7E33" w:rsidP="00F35DFD">
      <w:pPr>
        <w:jc w:val="both"/>
        <w:rPr>
          <w:rFonts w:ascii="Arial" w:hAnsi="Arial" w:cs="Arial"/>
          <w:b/>
          <w:sz w:val="24"/>
          <w:szCs w:val="24"/>
        </w:rPr>
      </w:pPr>
      <w:r>
        <w:rPr>
          <w:rFonts w:ascii="Arial" w:hAnsi="Arial" w:cs="Arial"/>
          <w:b/>
          <w:sz w:val="24"/>
          <w:szCs w:val="24"/>
        </w:rPr>
        <w:t xml:space="preserve">4. </w:t>
      </w:r>
      <w:r w:rsidRPr="00ED339E">
        <w:rPr>
          <w:rFonts w:ascii="Arial" w:hAnsi="Arial" w:cs="Arial"/>
          <w:b/>
          <w:sz w:val="24"/>
          <w:szCs w:val="24"/>
        </w:rPr>
        <w:t>Contestación de</w:t>
      </w:r>
      <w:r>
        <w:rPr>
          <w:rFonts w:ascii="Arial" w:hAnsi="Arial" w:cs="Arial"/>
          <w:b/>
          <w:sz w:val="24"/>
          <w:szCs w:val="24"/>
        </w:rPr>
        <w:t xml:space="preserve">l recurso extraordinario </w:t>
      </w:r>
    </w:p>
    <w:p w:rsidR="00FE7E33" w:rsidRPr="00ED339E" w:rsidRDefault="00FE7E33" w:rsidP="00F35DFD">
      <w:pPr>
        <w:spacing w:line="360" w:lineRule="auto"/>
        <w:jc w:val="both"/>
        <w:rPr>
          <w:rFonts w:ascii="Arial" w:hAnsi="Arial" w:cs="Arial"/>
          <w:b/>
          <w:sz w:val="24"/>
          <w:szCs w:val="24"/>
        </w:rPr>
      </w:pPr>
    </w:p>
    <w:p w:rsidR="00FE7E33" w:rsidRDefault="00FE7E33" w:rsidP="00F35DFD">
      <w:pPr>
        <w:spacing w:line="360" w:lineRule="auto"/>
        <w:jc w:val="both"/>
        <w:rPr>
          <w:rFonts w:ascii="Arial" w:hAnsi="Arial" w:cs="Arial"/>
          <w:sz w:val="24"/>
          <w:szCs w:val="24"/>
        </w:rPr>
      </w:pPr>
      <w:r w:rsidRPr="00ED339E">
        <w:rPr>
          <w:rFonts w:ascii="Arial" w:hAnsi="Arial" w:cs="Arial"/>
          <w:sz w:val="24"/>
          <w:szCs w:val="24"/>
        </w:rPr>
        <w:t xml:space="preserve">El apoderado del accionado </w:t>
      </w:r>
      <w:r>
        <w:rPr>
          <w:rFonts w:ascii="Arial" w:hAnsi="Arial" w:cs="Arial"/>
          <w:sz w:val="24"/>
          <w:szCs w:val="24"/>
        </w:rPr>
        <w:t xml:space="preserve">no hizo uso de esta etapa procesal. </w:t>
      </w:r>
    </w:p>
    <w:p w:rsidR="00FE7E33" w:rsidRDefault="00FE7E33" w:rsidP="00F35DFD">
      <w:pPr>
        <w:jc w:val="both"/>
        <w:rPr>
          <w:rFonts w:ascii="Arial" w:eastAsia="Times New Roman" w:hAnsi="Arial" w:cs="Arial"/>
          <w:b/>
          <w:sz w:val="24"/>
          <w:szCs w:val="24"/>
          <w:lang w:val="es-ES" w:eastAsia="es-ES"/>
        </w:rPr>
      </w:pPr>
    </w:p>
    <w:p w:rsidR="00FE7E33" w:rsidRPr="00ED339E" w:rsidRDefault="00FE7E33" w:rsidP="00F35DFD">
      <w:pPr>
        <w:tabs>
          <w:tab w:val="center" w:pos="4110"/>
        </w:tabs>
        <w:suppressAutoHyphens/>
        <w:spacing w:line="360" w:lineRule="auto"/>
        <w:jc w:val="center"/>
        <w:rPr>
          <w:rFonts w:ascii="Arial" w:hAnsi="Arial" w:cs="Arial"/>
          <w:sz w:val="24"/>
          <w:szCs w:val="24"/>
          <w:lang w:val="es-ES_tradnl"/>
        </w:rPr>
      </w:pPr>
      <w:r w:rsidRPr="00ED339E">
        <w:rPr>
          <w:rFonts w:ascii="Arial" w:hAnsi="Arial" w:cs="Arial"/>
          <w:b/>
          <w:bCs/>
          <w:sz w:val="24"/>
          <w:szCs w:val="24"/>
        </w:rPr>
        <w:t xml:space="preserve">II. CONSIDERACIONES </w:t>
      </w:r>
    </w:p>
    <w:p w:rsidR="00FE7E33" w:rsidRPr="00FA5D21" w:rsidRDefault="00FE7E33" w:rsidP="00F35DFD">
      <w:pPr>
        <w:widowControl w:val="0"/>
        <w:spacing w:line="360" w:lineRule="auto"/>
        <w:jc w:val="both"/>
        <w:rPr>
          <w:rFonts w:ascii="Arial" w:eastAsia="Times New Roman" w:hAnsi="Arial" w:cs="Arial"/>
          <w:b/>
          <w:sz w:val="24"/>
          <w:szCs w:val="24"/>
          <w:lang w:val="es-MX" w:eastAsia="es-ES"/>
        </w:rPr>
      </w:pPr>
      <w:r w:rsidRPr="00FA5D21">
        <w:rPr>
          <w:rFonts w:ascii="Arial" w:eastAsia="Times New Roman" w:hAnsi="Arial" w:cs="Arial"/>
          <w:b/>
          <w:sz w:val="24"/>
          <w:szCs w:val="24"/>
          <w:lang w:val="es-MX" w:eastAsia="es-ES"/>
        </w:rPr>
        <w:t>1. Competencia</w:t>
      </w:r>
    </w:p>
    <w:p w:rsidR="00FE7E33" w:rsidRPr="00FA5D21" w:rsidRDefault="00FE7E33" w:rsidP="00F35DFD">
      <w:pPr>
        <w:widowControl w:val="0"/>
        <w:rPr>
          <w:rFonts w:ascii="Arial" w:hAnsi="Arial" w:cs="Arial"/>
          <w:sz w:val="24"/>
          <w:szCs w:val="24"/>
          <w:highlight w:val="yellow"/>
          <w:lang w:eastAsia="es-ES"/>
        </w:rPr>
      </w:pPr>
    </w:p>
    <w:p w:rsidR="00FE7E33" w:rsidRPr="00FA5D21" w:rsidRDefault="00FE7E33" w:rsidP="00F35DFD">
      <w:pPr>
        <w:spacing w:line="360" w:lineRule="auto"/>
        <w:rPr>
          <w:rFonts w:ascii="Arial" w:hAnsi="Arial" w:cs="Arial"/>
          <w:sz w:val="24"/>
          <w:szCs w:val="24"/>
        </w:rPr>
      </w:pPr>
      <w:r w:rsidRPr="00FA5D21">
        <w:rPr>
          <w:rFonts w:ascii="Arial" w:hAnsi="Arial" w:cs="Arial"/>
          <w:sz w:val="24"/>
          <w:szCs w:val="24"/>
        </w:rPr>
        <w:t xml:space="preserve">El Consejo de Estado es competente para conocer del recurso extraordinario de revisión previsto en el artículo 20 de la Ley 797 de 2003, que establece: </w:t>
      </w:r>
    </w:p>
    <w:p w:rsidR="00FE7E33" w:rsidRPr="00FA5D21" w:rsidRDefault="00FE7E33" w:rsidP="00F35DFD">
      <w:pPr>
        <w:rPr>
          <w:rFonts w:ascii="Arial" w:hAnsi="Arial" w:cs="Arial"/>
          <w:sz w:val="24"/>
          <w:szCs w:val="24"/>
        </w:rPr>
      </w:pPr>
    </w:p>
    <w:p w:rsidR="00FE7E33" w:rsidRPr="00FA5D21" w:rsidRDefault="00FE7E33" w:rsidP="00F35DFD">
      <w:pPr>
        <w:ind w:left="708"/>
        <w:jc w:val="both"/>
        <w:rPr>
          <w:rFonts w:ascii="Arial" w:hAnsi="Arial" w:cs="Arial"/>
          <w:i/>
        </w:rPr>
      </w:pPr>
      <w:r w:rsidRPr="00FA5D21">
        <w:rPr>
          <w:rFonts w:ascii="Arial" w:hAnsi="Arial" w:cs="Arial"/>
          <w:i/>
        </w:rPr>
        <w:t xml:space="preserve">“Las providencias judiciales que  hayan decretado o decreten reconocimiento que impongan al tesoro público o a fondos de naturaleza pública la obligación de cubrir sumas periódicas de dinero o pensiones de cualquier naturaleza podrán ser revisadas por el Consejo de Estado o la Corte Suprema de Justicia, </w:t>
      </w:r>
      <w:r w:rsidRPr="00FA5D21">
        <w:rPr>
          <w:rFonts w:ascii="Arial" w:hAnsi="Arial" w:cs="Arial"/>
          <w:i/>
        </w:rPr>
        <w:lastRenderedPageBreak/>
        <w:t xml:space="preserve">de acuerdo con sus competencias, a solicitud del Gobierno por conducto del Ministerio de Trabajo y Seguridad Social, del Ministerio de Hacienda y Crédito Público, del Contralor General de la República o del Procurador General de la Nación”. </w:t>
      </w:r>
    </w:p>
    <w:p w:rsidR="00FE7E33" w:rsidRPr="00FA5D21" w:rsidRDefault="00FE7E33" w:rsidP="00F35DFD">
      <w:pPr>
        <w:ind w:left="708"/>
        <w:jc w:val="both"/>
        <w:rPr>
          <w:rFonts w:ascii="Arial" w:hAnsi="Arial" w:cs="Arial"/>
          <w:i/>
        </w:rPr>
      </w:pPr>
    </w:p>
    <w:p w:rsidR="00FE7E33" w:rsidRPr="00FA5D21" w:rsidRDefault="00FE7E33" w:rsidP="00F35DFD">
      <w:pPr>
        <w:spacing w:line="360" w:lineRule="auto"/>
        <w:jc w:val="both"/>
        <w:rPr>
          <w:rFonts w:ascii="Arial" w:hAnsi="Arial" w:cs="Arial"/>
          <w:sz w:val="24"/>
          <w:szCs w:val="24"/>
        </w:rPr>
      </w:pPr>
      <w:r w:rsidRPr="00FA5D21">
        <w:rPr>
          <w:rFonts w:ascii="Arial" w:hAnsi="Arial" w:cs="Arial"/>
          <w:sz w:val="24"/>
          <w:szCs w:val="24"/>
        </w:rPr>
        <w:t>A su vez, el artículo 249 del Código de Procedimiento Administrativo y de lo Contencioso Administrativo señala:</w:t>
      </w:r>
    </w:p>
    <w:p w:rsidR="00FE7E33" w:rsidRPr="00FA5D21" w:rsidRDefault="00FE7E33" w:rsidP="00F35DFD">
      <w:pPr>
        <w:jc w:val="both"/>
        <w:rPr>
          <w:rFonts w:ascii="Arial" w:hAnsi="Arial" w:cs="Arial"/>
          <w:sz w:val="24"/>
          <w:szCs w:val="24"/>
        </w:rPr>
      </w:pPr>
    </w:p>
    <w:p w:rsidR="00FE7E33" w:rsidRPr="00FA5D21" w:rsidRDefault="00FE7E33" w:rsidP="00F35DFD">
      <w:pPr>
        <w:widowControl w:val="0"/>
        <w:ind w:left="567" w:right="618"/>
        <w:jc w:val="both"/>
        <w:rPr>
          <w:rFonts w:ascii="Arial" w:hAnsi="Arial" w:cs="Arial"/>
          <w:i/>
          <w:iCs/>
        </w:rPr>
      </w:pPr>
      <w:r w:rsidRPr="00FA5D21">
        <w:rPr>
          <w:rFonts w:ascii="Arial" w:hAnsi="Arial" w:cs="Arial"/>
          <w:i/>
          <w:iCs/>
        </w:rPr>
        <w:t>De los recursos de revisión contra las sentencias dictadas por las secciones o subsecciones del Consejo de Estado conocerá la Sala Plena de lo Contencioso Administrativo sin exclusión de la sección que profirió la decisión</w:t>
      </w:r>
      <w:r w:rsidRPr="00FA5D21">
        <w:rPr>
          <w:rStyle w:val="Refdenotaalpie"/>
          <w:rFonts w:ascii="Arial" w:hAnsi="Arial" w:cs="Arial"/>
          <w:i/>
          <w:iCs/>
        </w:rPr>
        <w:footnoteReference w:id="4"/>
      </w:r>
      <w:r w:rsidRPr="00FA5D21">
        <w:rPr>
          <w:rFonts w:ascii="Arial" w:hAnsi="Arial" w:cs="Arial"/>
          <w:i/>
          <w:iCs/>
        </w:rPr>
        <w:t>.</w:t>
      </w:r>
    </w:p>
    <w:p w:rsidR="00FE7E33" w:rsidRPr="00FA5D21" w:rsidRDefault="00FE7E33" w:rsidP="00F35DFD">
      <w:pPr>
        <w:widowControl w:val="0"/>
        <w:ind w:left="567" w:right="618"/>
        <w:jc w:val="both"/>
        <w:rPr>
          <w:rFonts w:ascii="Arial" w:hAnsi="Arial" w:cs="Arial"/>
          <w:i/>
          <w:iCs/>
        </w:rPr>
      </w:pPr>
    </w:p>
    <w:p w:rsidR="00FE7E33" w:rsidRPr="00FA5D21" w:rsidRDefault="00FE7E33" w:rsidP="00F35DFD">
      <w:pPr>
        <w:widowControl w:val="0"/>
        <w:ind w:left="567" w:right="618"/>
        <w:jc w:val="both"/>
        <w:rPr>
          <w:rFonts w:ascii="Arial" w:hAnsi="Arial" w:cs="Arial"/>
          <w:i/>
          <w:iCs/>
        </w:rPr>
      </w:pPr>
      <w:r w:rsidRPr="00FA5D21">
        <w:rPr>
          <w:rFonts w:ascii="Arial" w:hAnsi="Arial" w:cs="Arial"/>
          <w:i/>
          <w:iCs/>
        </w:rPr>
        <w:t>De los recursos de revisión contra las sentencias ejecutoriadas proferidas por los Tribunales Administrativos conocerán las secciones y subsecciones del Consejo de Estado según la materia.</w:t>
      </w:r>
    </w:p>
    <w:p w:rsidR="00FE7E33" w:rsidRPr="00FA5D21" w:rsidRDefault="00FE7E33" w:rsidP="00F35DFD">
      <w:pPr>
        <w:widowControl w:val="0"/>
        <w:ind w:left="567" w:right="618"/>
        <w:jc w:val="both"/>
        <w:rPr>
          <w:rFonts w:ascii="Arial" w:hAnsi="Arial" w:cs="Arial"/>
          <w:i/>
          <w:iCs/>
        </w:rPr>
      </w:pPr>
    </w:p>
    <w:p w:rsidR="00FE7E33" w:rsidRPr="00FA5D21" w:rsidRDefault="00FE7E33" w:rsidP="00F35DFD">
      <w:pPr>
        <w:widowControl w:val="0"/>
        <w:ind w:left="567" w:right="618"/>
        <w:jc w:val="both"/>
        <w:rPr>
          <w:rFonts w:ascii="Arial" w:hAnsi="Arial" w:cs="Arial"/>
          <w:i/>
          <w:iCs/>
        </w:rPr>
      </w:pPr>
      <w:r w:rsidRPr="00FA5D21">
        <w:rPr>
          <w:rFonts w:ascii="Arial" w:hAnsi="Arial" w:cs="Arial"/>
          <w:i/>
          <w:iCs/>
        </w:rPr>
        <w:t>De los recursos de revisión contra las sentencias ejecutoriadas proferidas por tos jueces administrativos conocerán los Tribunales Administrativos.</w:t>
      </w:r>
    </w:p>
    <w:p w:rsidR="00FE7E33" w:rsidRPr="00FA5D21" w:rsidRDefault="00FE7E33" w:rsidP="00F35DFD">
      <w:pPr>
        <w:jc w:val="both"/>
        <w:rPr>
          <w:rFonts w:ascii="Arial" w:hAnsi="Arial" w:cs="Arial"/>
          <w:sz w:val="24"/>
          <w:szCs w:val="24"/>
        </w:rPr>
      </w:pPr>
    </w:p>
    <w:p w:rsidR="00FE7E33" w:rsidRPr="00FA5D21" w:rsidRDefault="00FE7E33" w:rsidP="00F35DFD">
      <w:pPr>
        <w:spacing w:line="360" w:lineRule="auto"/>
        <w:jc w:val="both"/>
        <w:rPr>
          <w:rFonts w:ascii="Arial" w:hAnsi="Arial" w:cs="Arial"/>
          <w:sz w:val="24"/>
          <w:szCs w:val="24"/>
        </w:rPr>
      </w:pPr>
      <w:r w:rsidRPr="00FA5D21">
        <w:rPr>
          <w:rFonts w:ascii="Arial" w:hAnsi="Arial" w:cs="Arial"/>
          <w:sz w:val="24"/>
          <w:szCs w:val="24"/>
        </w:rPr>
        <w:t xml:space="preserve">De las normas anteriormente citadas se concluye que corresponde a esta Corporación conocer de los recursos extraordinarios de revisión que se interpongan contra las sentencias proferidas por los tribunales administrativos. </w:t>
      </w:r>
    </w:p>
    <w:p w:rsidR="00FE7E33" w:rsidRPr="00FA5D21" w:rsidRDefault="00FE7E33" w:rsidP="00F35DFD">
      <w:pPr>
        <w:jc w:val="both"/>
        <w:rPr>
          <w:rFonts w:ascii="Arial" w:hAnsi="Arial" w:cs="Arial"/>
          <w:sz w:val="24"/>
          <w:szCs w:val="24"/>
        </w:rPr>
      </w:pPr>
    </w:p>
    <w:p w:rsidR="00FE7E33" w:rsidRPr="00FA5D21" w:rsidRDefault="00FE7E33" w:rsidP="00F35DFD">
      <w:pPr>
        <w:spacing w:line="360" w:lineRule="auto"/>
        <w:jc w:val="both"/>
        <w:rPr>
          <w:rFonts w:ascii="Arial" w:hAnsi="Arial" w:cs="Arial"/>
          <w:sz w:val="24"/>
          <w:szCs w:val="24"/>
        </w:rPr>
      </w:pPr>
      <w:r w:rsidRPr="00FA5D21">
        <w:rPr>
          <w:rFonts w:ascii="Arial" w:hAnsi="Arial" w:cs="Arial"/>
          <w:sz w:val="24"/>
          <w:szCs w:val="24"/>
        </w:rPr>
        <w:t xml:space="preserve">Ahora bien, en el caso bajo estudio se tiene que la </w:t>
      </w:r>
      <w:r>
        <w:rPr>
          <w:rFonts w:ascii="Arial" w:hAnsi="Arial" w:cs="Arial"/>
          <w:sz w:val="24"/>
          <w:szCs w:val="24"/>
        </w:rPr>
        <w:t>providencia</w:t>
      </w:r>
      <w:r w:rsidRPr="00FA5D21">
        <w:rPr>
          <w:rFonts w:ascii="Arial" w:hAnsi="Arial" w:cs="Arial"/>
          <w:sz w:val="24"/>
          <w:szCs w:val="24"/>
        </w:rPr>
        <w:t xml:space="preserve"> objeto del recurso fue </w:t>
      </w:r>
      <w:r>
        <w:rPr>
          <w:rFonts w:ascii="Arial" w:hAnsi="Arial" w:cs="Arial"/>
          <w:sz w:val="24"/>
          <w:szCs w:val="24"/>
        </w:rPr>
        <w:t>dictada</w:t>
      </w:r>
      <w:r w:rsidRPr="00FA5D21">
        <w:rPr>
          <w:rFonts w:ascii="Arial" w:hAnsi="Arial" w:cs="Arial"/>
          <w:sz w:val="24"/>
          <w:szCs w:val="24"/>
        </w:rPr>
        <w:t xml:space="preserve"> por el Tribunal Administrativo de</w:t>
      </w:r>
      <w:r>
        <w:rPr>
          <w:rFonts w:ascii="Arial" w:hAnsi="Arial" w:cs="Arial"/>
          <w:sz w:val="24"/>
          <w:szCs w:val="24"/>
        </w:rPr>
        <w:t xml:space="preserve">l Chocó el 5 de septiembre de 2013 y el tema que se debatió consistió en la reliquidación de la </w:t>
      </w:r>
      <w:r w:rsidRPr="00FA5D21">
        <w:rPr>
          <w:rFonts w:ascii="Arial" w:hAnsi="Arial" w:cs="Arial"/>
          <w:sz w:val="24"/>
          <w:szCs w:val="24"/>
        </w:rPr>
        <w:t xml:space="preserve">pensión de jubilación del señor </w:t>
      </w:r>
      <w:r>
        <w:rPr>
          <w:rFonts w:ascii="Arial" w:hAnsi="Arial" w:cs="Arial"/>
          <w:sz w:val="24"/>
          <w:szCs w:val="24"/>
        </w:rPr>
        <w:t xml:space="preserve">Omar Perea </w:t>
      </w:r>
      <w:proofErr w:type="spellStart"/>
      <w:r>
        <w:rPr>
          <w:rFonts w:ascii="Arial" w:hAnsi="Arial" w:cs="Arial"/>
          <w:sz w:val="24"/>
          <w:szCs w:val="24"/>
        </w:rPr>
        <w:t>Romaña</w:t>
      </w:r>
      <w:proofErr w:type="spellEnd"/>
      <w:r>
        <w:rPr>
          <w:rFonts w:ascii="Arial" w:hAnsi="Arial" w:cs="Arial"/>
          <w:sz w:val="24"/>
          <w:szCs w:val="24"/>
        </w:rPr>
        <w:t xml:space="preserve">, teniendo en cuenta el 75% de todos los factores salariales devengados durante el último año de servicios. </w:t>
      </w:r>
    </w:p>
    <w:p w:rsidR="00FE7E33" w:rsidRPr="00FA5D21" w:rsidRDefault="00FE7E33" w:rsidP="00F35DFD">
      <w:pPr>
        <w:jc w:val="both"/>
        <w:rPr>
          <w:rFonts w:ascii="Arial" w:hAnsi="Arial" w:cs="Arial"/>
          <w:sz w:val="24"/>
          <w:szCs w:val="24"/>
        </w:rPr>
      </w:pPr>
    </w:p>
    <w:p w:rsidR="00FE7E33" w:rsidRPr="00FA5D21" w:rsidRDefault="00FE7E33" w:rsidP="00F35DFD">
      <w:pPr>
        <w:spacing w:line="360" w:lineRule="auto"/>
        <w:jc w:val="both"/>
        <w:rPr>
          <w:rFonts w:ascii="Arial" w:hAnsi="Arial" w:cs="Arial"/>
          <w:sz w:val="24"/>
          <w:szCs w:val="24"/>
        </w:rPr>
      </w:pPr>
      <w:r>
        <w:rPr>
          <w:rFonts w:ascii="Arial" w:hAnsi="Arial" w:cs="Arial"/>
          <w:sz w:val="24"/>
          <w:szCs w:val="24"/>
        </w:rPr>
        <w:t>Por lo expuesto</w:t>
      </w:r>
      <w:r w:rsidRPr="00FA5D21">
        <w:rPr>
          <w:rFonts w:ascii="Arial" w:hAnsi="Arial" w:cs="Arial"/>
          <w:sz w:val="24"/>
          <w:szCs w:val="24"/>
        </w:rPr>
        <w:t xml:space="preserve">, esta Sección es competente para conocer del recurso por cuanto, además de haber sido proferida por un tribunal, el debate procesal es de carácter laboral; por lo tanto, procede el estudio del recurso extraordinario de revisión interpuesto por la UGPP contra </w:t>
      </w:r>
      <w:r>
        <w:rPr>
          <w:rFonts w:ascii="Arial" w:hAnsi="Arial" w:cs="Arial"/>
          <w:sz w:val="24"/>
          <w:szCs w:val="24"/>
        </w:rPr>
        <w:t>el fallo</w:t>
      </w:r>
      <w:r w:rsidRPr="00FA5D21">
        <w:rPr>
          <w:rFonts w:ascii="Arial" w:hAnsi="Arial" w:cs="Arial"/>
          <w:sz w:val="24"/>
          <w:szCs w:val="24"/>
        </w:rPr>
        <w:t xml:space="preserve"> de </w:t>
      </w:r>
      <w:r>
        <w:rPr>
          <w:rFonts w:ascii="Arial" w:hAnsi="Arial" w:cs="Arial"/>
          <w:sz w:val="24"/>
          <w:szCs w:val="24"/>
        </w:rPr>
        <w:t>5 de septiembre de 2013</w:t>
      </w:r>
      <w:r w:rsidRPr="00FA5D21">
        <w:rPr>
          <w:rFonts w:ascii="Arial" w:hAnsi="Arial" w:cs="Arial"/>
          <w:sz w:val="24"/>
          <w:szCs w:val="24"/>
        </w:rPr>
        <w:t xml:space="preserve"> proferida por el Tribunal Administrativo de</w:t>
      </w:r>
      <w:r>
        <w:rPr>
          <w:rFonts w:ascii="Arial" w:hAnsi="Arial" w:cs="Arial"/>
          <w:sz w:val="24"/>
          <w:szCs w:val="24"/>
        </w:rPr>
        <w:t>l Chocó,</w:t>
      </w:r>
      <w:r w:rsidRPr="00FA5D21">
        <w:rPr>
          <w:rFonts w:ascii="Arial" w:hAnsi="Arial" w:cs="Arial"/>
          <w:sz w:val="24"/>
          <w:szCs w:val="24"/>
        </w:rPr>
        <w:t xml:space="preserve"> que confirmó la </w:t>
      </w:r>
      <w:r>
        <w:rPr>
          <w:rFonts w:ascii="Arial" w:hAnsi="Arial" w:cs="Arial"/>
          <w:sz w:val="24"/>
          <w:szCs w:val="24"/>
        </w:rPr>
        <w:t xml:space="preserve">decisión </w:t>
      </w:r>
      <w:r w:rsidRPr="00FA5D21">
        <w:rPr>
          <w:rFonts w:ascii="Arial" w:hAnsi="Arial" w:cs="Arial"/>
          <w:sz w:val="24"/>
          <w:szCs w:val="24"/>
        </w:rPr>
        <w:t xml:space="preserve">de </w:t>
      </w:r>
      <w:r>
        <w:rPr>
          <w:rFonts w:ascii="Arial" w:hAnsi="Arial" w:cs="Arial"/>
          <w:sz w:val="24"/>
          <w:szCs w:val="24"/>
        </w:rPr>
        <w:lastRenderedPageBreak/>
        <w:t>19 de diciembre de 2012,</w:t>
      </w:r>
      <w:r w:rsidRPr="00FA5D21">
        <w:rPr>
          <w:rFonts w:ascii="Arial" w:hAnsi="Arial" w:cs="Arial"/>
          <w:sz w:val="24"/>
          <w:szCs w:val="24"/>
        </w:rPr>
        <w:t xml:space="preserve"> dictada por el Juzgado </w:t>
      </w:r>
      <w:r>
        <w:rPr>
          <w:rFonts w:ascii="Arial" w:hAnsi="Arial" w:cs="Arial"/>
          <w:sz w:val="24"/>
          <w:szCs w:val="24"/>
        </w:rPr>
        <w:t xml:space="preserve">Sexto de Descongestión de Quibdó. </w:t>
      </w:r>
    </w:p>
    <w:p w:rsidR="00FE7E33" w:rsidRDefault="00FE7E33" w:rsidP="00F35DFD">
      <w:pPr>
        <w:pStyle w:val="Textopredeterminado"/>
        <w:jc w:val="both"/>
        <w:rPr>
          <w:rFonts w:ascii="Arial" w:eastAsia="Calibri" w:hAnsi="Arial" w:cs="Arial"/>
          <w:szCs w:val="24"/>
          <w:lang w:val="es-CO" w:eastAsia="en-US"/>
        </w:rPr>
      </w:pPr>
    </w:p>
    <w:p w:rsidR="00FE7E33" w:rsidRPr="00E62111" w:rsidRDefault="00FE7E33" w:rsidP="00F35DFD">
      <w:pPr>
        <w:pStyle w:val="Textopredeterminado"/>
        <w:spacing w:line="360" w:lineRule="auto"/>
        <w:jc w:val="both"/>
        <w:rPr>
          <w:rFonts w:ascii="Arial" w:hAnsi="Arial" w:cs="Arial"/>
          <w:b/>
          <w:szCs w:val="24"/>
          <w:lang w:val="es-ES_tradnl"/>
        </w:rPr>
      </w:pPr>
      <w:r w:rsidRPr="00F552B1">
        <w:rPr>
          <w:rFonts w:ascii="Arial" w:eastAsia="Calibri" w:hAnsi="Arial" w:cs="Arial"/>
          <w:b/>
          <w:szCs w:val="24"/>
          <w:lang w:val="es-CO" w:eastAsia="en-US"/>
        </w:rPr>
        <w:t xml:space="preserve">2. </w:t>
      </w:r>
      <w:r w:rsidRPr="00F552B1">
        <w:rPr>
          <w:rFonts w:ascii="Arial" w:hAnsi="Arial" w:cs="Arial"/>
          <w:b/>
          <w:szCs w:val="24"/>
          <w:lang w:val="es-ES_tradnl"/>
        </w:rPr>
        <w:t>Objeto</w:t>
      </w:r>
      <w:r w:rsidRPr="00E62111">
        <w:rPr>
          <w:rFonts w:ascii="Arial" w:hAnsi="Arial" w:cs="Arial"/>
          <w:b/>
          <w:szCs w:val="24"/>
          <w:lang w:val="es-ES_tradnl"/>
        </w:rPr>
        <w:t xml:space="preserve"> y alcances del recurso extraordinario de revisión</w:t>
      </w:r>
    </w:p>
    <w:p w:rsidR="00FE7E33" w:rsidRPr="00481C27" w:rsidRDefault="00FE7E33" w:rsidP="00F35DFD">
      <w:pPr>
        <w:ind w:right="51"/>
        <w:jc w:val="both"/>
        <w:rPr>
          <w:rFonts w:ascii="Arial" w:hAnsi="Arial" w:cs="Arial"/>
          <w:i/>
          <w:highlight w:val="cyan"/>
        </w:rPr>
      </w:pPr>
    </w:p>
    <w:p w:rsidR="00FE7E33" w:rsidRPr="00E62111" w:rsidRDefault="00FE7E33" w:rsidP="00F35DFD">
      <w:pPr>
        <w:pStyle w:val="Textopredeterminado"/>
        <w:spacing w:line="360" w:lineRule="auto"/>
        <w:jc w:val="both"/>
        <w:rPr>
          <w:rFonts w:ascii="Arial" w:hAnsi="Arial" w:cs="Arial"/>
          <w:szCs w:val="24"/>
          <w:lang w:val="es-ES_tradnl"/>
        </w:rPr>
      </w:pPr>
      <w:r w:rsidRPr="00E62111">
        <w:rPr>
          <w:rFonts w:ascii="Arial" w:hAnsi="Arial" w:cs="Arial"/>
          <w:szCs w:val="24"/>
          <w:lang w:val="es-ES"/>
        </w:rPr>
        <w:t xml:space="preserve">Como lo ha reiterado la jurisprudencia de esta Corporación, la </w:t>
      </w:r>
      <w:r>
        <w:rPr>
          <w:rFonts w:ascii="Arial" w:hAnsi="Arial" w:cs="Arial"/>
          <w:szCs w:val="24"/>
          <w:lang w:val="es-ES_tradnl"/>
        </w:rPr>
        <w:t>r</w:t>
      </w:r>
      <w:r w:rsidRPr="00E62111">
        <w:rPr>
          <w:rFonts w:ascii="Arial" w:hAnsi="Arial" w:cs="Arial"/>
          <w:szCs w:val="24"/>
          <w:lang w:val="es-ES_tradnl"/>
        </w:rPr>
        <w:t xml:space="preserve">evisión es un medio de impugnación extraordinario que limita la inmutabilidad de las sentencias en relación con la cosa juzgada y permite que se subsanen determinadas irregularidades o ilegalidades, según las causales </w:t>
      </w:r>
      <w:r>
        <w:rPr>
          <w:rFonts w:ascii="Arial" w:hAnsi="Arial" w:cs="Arial"/>
          <w:szCs w:val="24"/>
          <w:lang w:val="es-ES_tradnl"/>
        </w:rPr>
        <w:t>legales</w:t>
      </w:r>
      <w:r w:rsidRPr="00E62111">
        <w:rPr>
          <w:rFonts w:ascii="Arial" w:hAnsi="Arial" w:cs="Arial"/>
          <w:szCs w:val="24"/>
          <w:lang w:val="es-ES_tradnl"/>
        </w:rPr>
        <w:t>, siendo la principal finalidad de este recurso el restablecimiento de la justicia</w:t>
      </w:r>
      <w:r w:rsidRPr="00E62111">
        <w:rPr>
          <w:rStyle w:val="Refdenotaalpie"/>
          <w:rFonts w:cs="Arial"/>
          <w:szCs w:val="24"/>
        </w:rPr>
        <w:footnoteReference w:id="5"/>
      </w:r>
      <w:r w:rsidRPr="00E62111">
        <w:rPr>
          <w:rFonts w:ascii="Arial" w:hAnsi="Arial" w:cs="Arial"/>
          <w:szCs w:val="24"/>
          <w:lang w:val="es-ES_tradnl"/>
        </w:rPr>
        <w:t>.</w:t>
      </w:r>
    </w:p>
    <w:p w:rsidR="00FE7E33" w:rsidRPr="00E62111" w:rsidRDefault="00FE7E33" w:rsidP="00F35DFD">
      <w:pPr>
        <w:pStyle w:val="Textopredeterminado"/>
        <w:jc w:val="both"/>
        <w:rPr>
          <w:rFonts w:ascii="Arial" w:hAnsi="Arial" w:cs="Arial"/>
          <w:szCs w:val="24"/>
          <w:lang w:val="es-ES_tradnl"/>
        </w:rPr>
      </w:pPr>
    </w:p>
    <w:p w:rsidR="00FE7E33" w:rsidRPr="00E62111" w:rsidRDefault="00FE7E33" w:rsidP="00F35DFD">
      <w:pPr>
        <w:spacing w:line="360" w:lineRule="auto"/>
        <w:jc w:val="both"/>
        <w:rPr>
          <w:rFonts w:ascii="Arial" w:hAnsi="Arial" w:cs="Arial"/>
          <w:sz w:val="24"/>
          <w:szCs w:val="24"/>
        </w:rPr>
      </w:pPr>
      <w:r>
        <w:rPr>
          <w:rFonts w:ascii="Arial" w:hAnsi="Arial" w:cs="Arial"/>
          <w:sz w:val="24"/>
          <w:szCs w:val="24"/>
        </w:rPr>
        <w:t>El recurso extraordinario de r</w:t>
      </w:r>
      <w:r w:rsidRPr="00E62111">
        <w:rPr>
          <w:rFonts w:ascii="Arial" w:hAnsi="Arial" w:cs="Arial"/>
          <w:sz w:val="24"/>
          <w:szCs w:val="24"/>
        </w:rPr>
        <w:t>evisión no implica el desconocimiento de los principios de cosa juzgada y presunción de legalidad de las decisiones judiciales, sino que, excepcionalmente, en ciertas circunstancias y por las razones consagradas específicamente en la ley, es viable revisar las sentencias en aras de restablecer el imperio de la justicia y mantener el orden jurídico y social. Es precisamente en</w:t>
      </w:r>
      <w:r>
        <w:rPr>
          <w:rFonts w:ascii="Arial" w:hAnsi="Arial" w:cs="Arial"/>
          <w:sz w:val="24"/>
          <w:szCs w:val="24"/>
        </w:rPr>
        <w:t xml:space="preserve"> atención a lo anterior que el recurso de r</w:t>
      </w:r>
      <w:r w:rsidRPr="00E62111">
        <w:rPr>
          <w:rFonts w:ascii="Arial" w:hAnsi="Arial" w:cs="Arial"/>
          <w:sz w:val="24"/>
          <w:szCs w:val="24"/>
        </w:rPr>
        <w:t xml:space="preserve">evisión </w:t>
      </w:r>
      <w:r>
        <w:rPr>
          <w:rFonts w:ascii="Arial" w:hAnsi="Arial" w:cs="Arial"/>
          <w:sz w:val="24"/>
          <w:szCs w:val="24"/>
        </w:rPr>
        <w:t>es</w:t>
      </w:r>
      <w:r w:rsidRPr="00E62111">
        <w:rPr>
          <w:rFonts w:ascii="Arial" w:hAnsi="Arial" w:cs="Arial"/>
          <w:sz w:val="24"/>
          <w:szCs w:val="24"/>
        </w:rPr>
        <w:t xml:space="preserve"> un medio extraordinario de impugnación.</w:t>
      </w:r>
    </w:p>
    <w:p w:rsidR="00FE7E33" w:rsidRPr="00481C27" w:rsidRDefault="00FE7E33" w:rsidP="00F35DFD">
      <w:pPr>
        <w:jc w:val="both"/>
        <w:rPr>
          <w:rFonts w:ascii="Arial" w:hAnsi="Arial" w:cs="Arial"/>
          <w:sz w:val="24"/>
          <w:szCs w:val="24"/>
          <w:highlight w:val="cyan"/>
        </w:rPr>
      </w:pPr>
    </w:p>
    <w:p w:rsidR="00FE7E33" w:rsidRPr="00E62111" w:rsidRDefault="00FE7E33" w:rsidP="00F35DFD">
      <w:pPr>
        <w:spacing w:line="360" w:lineRule="auto"/>
        <w:jc w:val="both"/>
        <w:rPr>
          <w:rFonts w:ascii="Arial" w:hAnsi="Arial" w:cs="Arial"/>
          <w:sz w:val="24"/>
          <w:szCs w:val="24"/>
        </w:rPr>
      </w:pPr>
      <w:r w:rsidRPr="00E62111">
        <w:rPr>
          <w:rFonts w:ascii="Arial" w:hAnsi="Arial" w:cs="Arial"/>
          <w:sz w:val="24"/>
          <w:szCs w:val="24"/>
        </w:rPr>
        <w:t>En este mismo orden de ideas, la procedencia de este recurso se encuentra sujeta al estricto, riguroso y ajustado cumplimiento de las causales que expresamente ha previsto el legislador, sin que sea dable ampliarlas mediante interpretación analógica, con lo cual se busca evitar que éste se convierta en una tercera instancia y se utilice para remediar equivocaciones en que hubiera podido incurrir alguna de las partes, o para controvertir juicios de valor del fallador</w:t>
      </w:r>
      <w:r w:rsidRPr="00E62111">
        <w:rPr>
          <w:rStyle w:val="Refdenotaalpie"/>
          <w:rFonts w:ascii="Arial" w:hAnsi="Arial" w:cs="Arial"/>
          <w:szCs w:val="24"/>
        </w:rPr>
        <w:footnoteReference w:id="6"/>
      </w:r>
      <w:r w:rsidRPr="00E62111">
        <w:rPr>
          <w:rFonts w:ascii="Arial" w:hAnsi="Arial" w:cs="Arial"/>
          <w:sz w:val="24"/>
          <w:szCs w:val="24"/>
        </w:rPr>
        <w:t xml:space="preserve">.  </w:t>
      </w:r>
    </w:p>
    <w:p w:rsidR="00FE7E33" w:rsidRPr="00481C27" w:rsidRDefault="00FE7E33" w:rsidP="00F35DFD">
      <w:pPr>
        <w:pStyle w:val="Textopredeterminado"/>
        <w:jc w:val="both"/>
        <w:rPr>
          <w:rFonts w:ascii="Arial" w:hAnsi="Arial" w:cs="Arial"/>
          <w:szCs w:val="24"/>
          <w:highlight w:val="cyan"/>
          <w:lang w:val="es-ES_tradnl"/>
        </w:rPr>
      </w:pPr>
    </w:p>
    <w:p w:rsidR="00FE7E33" w:rsidRPr="00831FFE" w:rsidRDefault="00FE7E33" w:rsidP="00F35DFD">
      <w:pPr>
        <w:pStyle w:val="Textopredeterminado"/>
        <w:spacing w:line="360" w:lineRule="auto"/>
        <w:jc w:val="both"/>
        <w:rPr>
          <w:rFonts w:ascii="Arial" w:hAnsi="Arial" w:cs="Arial"/>
          <w:szCs w:val="24"/>
          <w:lang w:val="es-ES_tradnl"/>
        </w:rPr>
      </w:pPr>
      <w:r w:rsidRPr="00831FFE">
        <w:rPr>
          <w:rFonts w:ascii="Arial" w:hAnsi="Arial" w:cs="Arial"/>
          <w:szCs w:val="24"/>
          <w:lang w:val="es-ES_tradnl"/>
        </w:rPr>
        <w:t xml:space="preserve">Las causales de revisión tienen por objeto garantizar la justicia de la sentencia, el principio de la cosa juzgada y el derecho de defensa, siempre y cuando hubieren sido transgredidos por motivos trascendentes o externos al proceso. La estructura interna del fallo, esto es, la normatividad sustancial en la cual se </w:t>
      </w:r>
      <w:r w:rsidRPr="00831FFE">
        <w:rPr>
          <w:rFonts w:ascii="Arial" w:hAnsi="Arial" w:cs="Arial"/>
          <w:szCs w:val="24"/>
          <w:lang w:val="es-ES_tradnl"/>
        </w:rPr>
        <w:lastRenderedPageBreak/>
        <w:t>fundamentó, no es atacable por la vía de la revisión, dado que los errores en que haya podido incurrir el juez al decidir son aspectos ajenos al recurso</w:t>
      </w:r>
      <w:r w:rsidRPr="00831FFE">
        <w:rPr>
          <w:rStyle w:val="Refdenotaalpie"/>
          <w:rFonts w:cs="Arial"/>
          <w:szCs w:val="24"/>
        </w:rPr>
        <w:footnoteReference w:id="7"/>
      </w:r>
      <w:r w:rsidRPr="00831FFE">
        <w:rPr>
          <w:rFonts w:ascii="Arial" w:hAnsi="Arial" w:cs="Arial"/>
          <w:szCs w:val="24"/>
          <w:lang w:val="es-ES_tradnl"/>
        </w:rPr>
        <w:t>.</w:t>
      </w:r>
    </w:p>
    <w:p w:rsidR="00FE7E33" w:rsidRPr="00481C27" w:rsidRDefault="00FE7E33" w:rsidP="00F35DFD">
      <w:pPr>
        <w:widowControl w:val="0"/>
        <w:jc w:val="both"/>
        <w:rPr>
          <w:rFonts w:ascii="Arial" w:hAnsi="Arial" w:cs="Arial"/>
          <w:sz w:val="24"/>
          <w:szCs w:val="24"/>
          <w:highlight w:val="cyan"/>
        </w:rPr>
      </w:pPr>
    </w:p>
    <w:p w:rsidR="00FE7E33" w:rsidRPr="00ED339E" w:rsidRDefault="00FE7E33" w:rsidP="00F35DFD">
      <w:pPr>
        <w:widowControl w:val="0"/>
        <w:tabs>
          <w:tab w:val="left" w:pos="397"/>
        </w:tabs>
        <w:overflowPunct w:val="0"/>
        <w:autoSpaceDE w:val="0"/>
        <w:autoSpaceDN w:val="0"/>
        <w:adjustRightInd w:val="0"/>
        <w:spacing w:line="360" w:lineRule="auto"/>
        <w:jc w:val="both"/>
        <w:textAlignment w:val="baseline"/>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3</w:t>
      </w:r>
      <w:r w:rsidRPr="00ED339E">
        <w:rPr>
          <w:rFonts w:ascii="Arial" w:eastAsia="Times New Roman" w:hAnsi="Arial" w:cs="Arial"/>
          <w:b/>
          <w:bCs/>
          <w:sz w:val="24"/>
          <w:szCs w:val="24"/>
          <w:lang w:val="es-ES_tradnl" w:eastAsia="es-ES"/>
        </w:rPr>
        <w:t>. Problema jurídico</w:t>
      </w:r>
    </w:p>
    <w:p w:rsidR="00FE7E33" w:rsidRDefault="00FE7E33" w:rsidP="00F35DFD">
      <w:pPr>
        <w:widowControl w:val="0"/>
        <w:tabs>
          <w:tab w:val="left" w:pos="397"/>
        </w:tabs>
        <w:overflowPunct w:val="0"/>
        <w:autoSpaceDE w:val="0"/>
        <w:autoSpaceDN w:val="0"/>
        <w:adjustRightInd w:val="0"/>
        <w:jc w:val="both"/>
        <w:textAlignment w:val="baseline"/>
        <w:rPr>
          <w:rFonts w:ascii="Arial" w:eastAsia="Times New Roman" w:hAnsi="Arial" w:cs="Arial"/>
          <w:b/>
          <w:bCs/>
          <w:sz w:val="24"/>
          <w:szCs w:val="24"/>
          <w:lang w:val="es-ES_tradnl" w:eastAsia="es-ES"/>
        </w:rPr>
      </w:pPr>
    </w:p>
    <w:p w:rsidR="00FE7E33" w:rsidRPr="00DF1B81" w:rsidRDefault="00FE7E33" w:rsidP="00F35DFD">
      <w:pPr>
        <w:widowControl w:val="0"/>
        <w:spacing w:line="360" w:lineRule="auto"/>
        <w:jc w:val="both"/>
        <w:rPr>
          <w:rFonts w:ascii="Arial" w:hAnsi="Arial" w:cs="Arial"/>
          <w:sz w:val="24"/>
          <w:szCs w:val="24"/>
        </w:rPr>
      </w:pPr>
      <w:r w:rsidRPr="00DF1B81">
        <w:rPr>
          <w:rFonts w:ascii="Arial" w:hAnsi="Arial" w:cs="Arial"/>
          <w:sz w:val="24"/>
          <w:szCs w:val="24"/>
        </w:rPr>
        <w:t xml:space="preserve">En el caso bajo estudio, la Sala debe determinar si en la sentencia proferida el </w:t>
      </w:r>
      <w:r>
        <w:rPr>
          <w:rFonts w:ascii="Arial" w:hAnsi="Arial" w:cs="Arial"/>
          <w:sz w:val="24"/>
          <w:szCs w:val="24"/>
        </w:rPr>
        <w:t>5 de septiembre de 2013 por el Tribunal Administrativo del Chocó</w:t>
      </w:r>
      <w:r w:rsidRPr="00DF1B81">
        <w:rPr>
          <w:rFonts w:ascii="Arial" w:hAnsi="Arial" w:cs="Arial"/>
          <w:sz w:val="24"/>
          <w:szCs w:val="24"/>
        </w:rPr>
        <w:t xml:space="preserve">, se configura la causal de revisión prevista en el literal b) del artículo 20 de la Ley 797 de 2003, por haber incluido </w:t>
      </w:r>
      <w:r>
        <w:rPr>
          <w:rFonts w:ascii="Arial" w:hAnsi="Arial" w:cs="Arial"/>
          <w:sz w:val="24"/>
          <w:szCs w:val="24"/>
        </w:rPr>
        <w:t xml:space="preserve">las vacaciones </w:t>
      </w:r>
      <w:r w:rsidRPr="00DF1B81">
        <w:rPr>
          <w:rFonts w:ascii="Arial" w:hAnsi="Arial" w:cs="Arial"/>
          <w:sz w:val="24"/>
          <w:szCs w:val="24"/>
        </w:rPr>
        <w:t xml:space="preserve">en la liquidación pensional del señor </w:t>
      </w:r>
      <w:r>
        <w:rPr>
          <w:rFonts w:ascii="Arial" w:hAnsi="Arial" w:cs="Arial"/>
          <w:sz w:val="24"/>
          <w:szCs w:val="24"/>
        </w:rPr>
        <w:t xml:space="preserve">Omar Perea </w:t>
      </w:r>
      <w:proofErr w:type="spellStart"/>
      <w:r>
        <w:rPr>
          <w:rFonts w:ascii="Arial" w:hAnsi="Arial" w:cs="Arial"/>
          <w:sz w:val="24"/>
          <w:szCs w:val="24"/>
        </w:rPr>
        <w:t>Romaña</w:t>
      </w:r>
      <w:proofErr w:type="spellEnd"/>
      <w:r>
        <w:rPr>
          <w:rFonts w:ascii="Arial" w:hAnsi="Arial" w:cs="Arial"/>
          <w:sz w:val="24"/>
          <w:szCs w:val="24"/>
        </w:rPr>
        <w:t xml:space="preserve">. </w:t>
      </w:r>
    </w:p>
    <w:p w:rsidR="00FE7E33" w:rsidRDefault="00FE7E33" w:rsidP="00F35DFD">
      <w:pPr>
        <w:widowControl w:val="0"/>
        <w:tabs>
          <w:tab w:val="left" w:pos="397"/>
        </w:tabs>
        <w:overflowPunct w:val="0"/>
        <w:autoSpaceDE w:val="0"/>
        <w:autoSpaceDN w:val="0"/>
        <w:adjustRightInd w:val="0"/>
        <w:jc w:val="both"/>
        <w:textAlignment w:val="baseline"/>
        <w:rPr>
          <w:rFonts w:ascii="Arial" w:eastAsia="Times New Roman" w:hAnsi="Arial" w:cs="Arial"/>
          <w:b/>
          <w:bCs/>
          <w:sz w:val="24"/>
          <w:szCs w:val="24"/>
          <w:lang w:val="es-ES_tradnl" w:eastAsia="es-ES"/>
        </w:rPr>
      </w:pPr>
    </w:p>
    <w:p w:rsidR="00FE7E33" w:rsidRPr="00ED339E" w:rsidRDefault="00FE7E33" w:rsidP="00F35DFD">
      <w:pPr>
        <w:widowControl w:val="0"/>
        <w:tabs>
          <w:tab w:val="left" w:pos="397"/>
        </w:tabs>
        <w:overflowPunct w:val="0"/>
        <w:autoSpaceDE w:val="0"/>
        <w:autoSpaceDN w:val="0"/>
        <w:adjustRightInd w:val="0"/>
        <w:spacing w:line="360" w:lineRule="auto"/>
        <w:jc w:val="both"/>
        <w:textAlignment w:val="baseline"/>
        <w:rPr>
          <w:rFonts w:ascii="Arial" w:eastAsia="Times New Roman" w:hAnsi="Arial" w:cs="Arial"/>
          <w:b/>
          <w:bCs/>
          <w:sz w:val="24"/>
          <w:szCs w:val="24"/>
          <w:lang w:val="es-ES_tradnl" w:eastAsia="es-ES"/>
        </w:rPr>
      </w:pPr>
      <w:r w:rsidRPr="0081697A">
        <w:rPr>
          <w:rFonts w:ascii="Arial" w:eastAsia="Times New Roman" w:hAnsi="Arial" w:cs="Arial"/>
          <w:b/>
          <w:bCs/>
          <w:sz w:val="24"/>
          <w:szCs w:val="24"/>
          <w:lang w:val="es-ES_tradnl" w:eastAsia="es-ES"/>
        </w:rPr>
        <w:t>Caso concreto</w:t>
      </w:r>
    </w:p>
    <w:p w:rsidR="00FE7E33" w:rsidRPr="00ED339E" w:rsidRDefault="00FE7E33" w:rsidP="00F35DFD">
      <w:pPr>
        <w:widowControl w:val="0"/>
        <w:tabs>
          <w:tab w:val="left" w:pos="397"/>
        </w:tabs>
        <w:overflowPunct w:val="0"/>
        <w:autoSpaceDE w:val="0"/>
        <w:autoSpaceDN w:val="0"/>
        <w:adjustRightInd w:val="0"/>
        <w:jc w:val="both"/>
        <w:textAlignment w:val="baseline"/>
        <w:rPr>
          <w:rFonts w:ascii="Arial" w:eastAsia="Times New Roman" w:hAnsi="Arial" w:cs="Arial"/>
          <w:b/>
          <w:bCs/>
          <w:sz w:val="24"/>
          <w:szCs w:val="24"/>
          <w:lang w:val="es-ES_tradnl" w:eastAsia="es-ES"/>
        </w:rPr>
      </w:pP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hAnsi="Arial" w:cs="Arial"/>
          <w:i/>
          <w:sz w:val="24"/>
          <w:szCs w:val="24"/>
        </w:rPr>
      </w:pPr>
      <w:r>
        <w:rPr>
          <w:rFonts w:ascii="Arial" w:hAnsi="Arial" w:cs="Arial"/>
          <w:sz w:val="24"/>
          <w:szCs w:val="24"/>
        </w:rPr>
        <w:t>La Unidad</w:t>
      </w:r>
      <w:r w:rsidRPr="00ED339E">
        <w:rPr>
          <w:rFonts w:ascii="Arial" w:eastAsia="Dotum" w:hAnsi="Arial" w:cs="Arial"/>
          <w:bCs/>
          <w:sz w:val="24"/>
          <w:szCs w:val="24"/>
          <w:lang w:val="es-ES" w:eastAsia="es-ES"/>
        </w:rPr>
        <w:t xml:space="preserve"> Administrativa Especial de Gestión Pensional y Contribuciones Parafiscales de la Protección Social –UGPP,</w:t>
      </w:r>
      <w:r>
        <w:rPr>
          <w:rFonts w:ascii="Arial" w:eastAsia="Dotum" w:hAnsi="Arial" w:cs="Arial"/>
          <w:bCs/>
          <w:sz w:val="24"/>
          <w:szCs w:val="24"/>
          <w:lang w:val="es-ES" w:eastAsia="es-ES"/>
        </w:rPr>
        <w:t xml:space="preserve"> presentó recurso extraordinario de revisión, contra la sentencia de 5 de septiembre de 2013, proferida por el Tribunal Administrativo del Chocó, mediante la cual confirmó </w:t>
      </w:r>
      <w:r w:rsidRPr="007904C5">
        <w:rPr>
          <w:rFonts w:ascii="Arial" w:hAnsi="Arial" w:cs="Arial"/>
          <w:iCs/>
          <w:sz w:val="24"/>
          <w:szCs w:val="24"/>
        </w:rPr>
        <w:t xml:space="preserve">la sentencia del </w:t>
      </w:r>
      <w:r>
        <w:rPr>
          <w:rFonts w:ascii="Arial" w:hAnsi="Arial" w:cs="Arial"/>
          <w:iCs/>
          <w:sz w:val="24"/>
          <w:szCs w:val="24"/>
        </w:rPr>
        <w:t>19 de diciembre de 2012</w:t>
      </w:r>
      <w:r w:rsidRPr="007904C5">
        <w:rPr>
          <w:rFonts w:ascii="Arial" w:hAnsi="Arial" w:cs="Arial"/>
          <w:iCs/>
          <w:sz w:val="24"/>
          <w:szCs w:val="24"/>
        </w:rPr>
        <w:t xml:space="preserve">, emitida por el Juzgado </w:t>
      </w:r>
      <w:r>
        <w:rPr>
          <w:rFonts w:ascii="Arial" w:hAnsi="Arial" w:cs="Arial"/>
          <w:iCs/>
          <w:sz w:val="24"/>
          <w:szCs w:val="24"/>
        </w:rPr>
        <w:t>Sext</w:t>
      </w:r>
      <w:r w:rsidRPr="007904C5">
        <w:rPr>
          <w:rFonts w:ascii="Arial" w:hAnsi="Arial" w:cs="Arial"/>
          <w:iCs/>
          <w:sz w:val="24"/>
          <w:szCs w:val="24"/>
        </w:rPr>
        <w:t>o Administrativo</w:t>
      </w:r>
      <w:r>
        <w:rPr>
          <w:rFonts w:ascii="Arial" w:hAnsi="Arial" w:cs="Arial"/>
          <w:iCs/>
          <w:sz w:val="24"/>
          <w:szCs w:val="24"/>
        </w:rPr>
        <w:t xml:space="preserve"> de Descongestión</w:t>
      </w:r>
      <w:r w:rsidRPr="007904C5">
        <w:rPr>
          <w:rFonts w:ascii="Arial" w:hAnsi="Arial" w:cs="Arial"/>
          <w:iCs/>
          <w:sz w:val="24"/>
          <w:szCs w:val="24"/>
        </w:rPr>
        <w:t xml:space="preserve"> de </w:t>
      </w:r>
      <w:r>
        <w:rPr>
          <w:rFonts w:ascii="Arial" w:hAnsi="Arial" w:cs="Arial"/>
          <w:iCs/>
          <w:sz w:val="24"/>
          <w:szCs w:val="24"/>
        </w:rPr>
        <w:t xml:space="preserve">Quibdó señalando como causal de </w:t>
      </w:r>
      <w:r>
        <w:rPr>
          <w:rFonts w:ascii="Arial" w:eastAsia="Dotum" w:hAnsi="Arial" w:cs="Arial"/>
          <w:bCs/>
          <w:sz w:val="24"/>
          <w:szCs w:val="24"/>
          <w:lang w:val="es-ES" w:eastAsia="es-ES"/>
        </w:rPr>
        <w:t xml:space="preserve">revisión la prevista </w:t>
      </w:r>
      <w:r w:rsidRPr="00DF1B81">
        <w:rPr>
          <w:rFonts w:ascii="Arial" w:hAnsi="Arial" w:cs="Arial"/>
          <w:sz w:val="24"/>
          <w:szCs w:val="24"/>
        </w:rPr>
        <w:t xml:space="preserve">en literal b) del artículo 20 de la Ley 797 de 2003, que dispone: </w:t>
      </w:r>
      <w:r w:rsidRPr="00DF1B81">
        <w:rPr>
          <w:rFonts w:ascii="Arial" w:hAnsi="Arial" w:cs="Arial"/>
          <w:i/>
          <w:sz w:val="24"/>
          <w:szCs w:val="24"/>
        </w:rPr>
        <w:t>“cuando la cuantía del derecho reconocido excediere lo debido de acuerdo con la ley, pacto o convención colectiva que le eran legítimamente aplicables”</w:t>
      </w:r>
      <w:r>
        <w:rPr>
          <w:rFonts w:ascii="Arial" w:hAnsi="Arial" w:cs="Arial"/>
          <w:i/>
          <w:sz w:val="24"/>
          <w:szCs w:val="24"/>
        </w:rPr>
        <w:t>.</w:t>
      </w:r>
    </w:p>
    <w:p w:rsidR="00FE7E33" w:rsidRDefault="00FE7E33" w:rsidP="00F35DFD">
      <w:pPr>
        <w:widowControl w:val="0"/>
        <w:tabs>
          <w:tab w:val="left" w:pos="397"/>
        </w:tabs>
        <w:overflowPunct w:val="0"/>
        <w:autoSpaceDE w:val="0"/>
        <w:autoSpaceDN w:val="0"/>
        <w:adjustRightInd w:val="0"/>
        <w:jc w:val="both"/>
        <w:textAlignment w:val="baseline"/>
        <w:rPr>
          <w:rFonts w:ascii="Arial" w:hAnsi="Arial" w:cs="Arial"/>
          <w:i/>
          <w:sz w:val="24"/>
          <w:szCs w:val="24"/>
        </w:rPr>
      </w:pP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Como fundamento del recurso la UGPP alega que, contrario a lo dispuesto por el Tribunal, en el cálculo de la pensión de jubilación del demandado no debían incluirse las vacaciones como factor salarial.</w:t>
      </w:r>
    </w:p>
    <w:p w:rsidR="00FE7E33" w:rsidRDefault="00FE7E33" w:rsidP="00F35DFD">
      <w:pPr>
        <w:widowControl w:val="0"/>
        <w:tabs>
          <w:tab w:val="left" w:pos="397"/>
        </w:tabs>
        <w:overflowPunct w:val="0"/>
        <w:autoSpaceDE w:val="0"/>
        <w:autoSpaceDN w:val="0"/>
        <w:adjustRightInd w:val="0"/>
        <w:jc w:val="both"/>
        <w:textAlignment w:val="baseline"/>
        <w:rPr>
          <w:rFonts w:ascii="Arial" w:hAnsi="Arial" w:cs="Arial"/>
          <w:sz w:val="24"/>
          <w:szCs w:val="24"/>
        </w:rPr>
      </w:pP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hAnsi="Arial" w:cs="Arial"/>
          <w:sz w:val="24"/>
          <w:szCs w:val="24"/>
        </w:rPr>
      </w:pPr>
      <w:r w:rsidRPr="00DF1E25">
        <w:rPr>
          <w:rFonts w:ascii="Arial" w:hAnsi="Arial" w:cs="Arial"/>
          <w:sz w:val="24"/>
          <w:szCs w:val="24"/>
        </w:rPr>
        <w:t>Ahora bien, respecto de las vacaciones el artículo 8 del Decreto 3135 de 1968</w:t>
      </w:r>
      <w:r w:rsidRPr="00DF1E25">
        <w:rPr>
          <w:rStyle w:val="Refdenotaalpie"/>
          <w:rFonts w:ascii="Arial" w:hAnsi="Arial" w:cs="Arial"/>
          <w:sz w:val="24"/>
          <w:szCs w:val="24"/>
        </w:rPr>
        <w:footnoteReference w:id="8"/>
      </w:r>
      <w:r w:rsidRPr="00DF1E25">
        <w:rPr>
          <w:rFonts w:ascii="Arial" w:hAnsi="Arial" w:cs="Arial"/>
          <w:sz w:val="24"/>
          <w:szCs w:val="24"/>
        </w:rPr>
        <w:t xml:space="preserve"> dispuso, que:</w:t>
      </w:r>
      <w:r>
        <w:rPr>
          <w:rFonts w:ascii="Arial" w:hAnsi="Arial" w:cs="Arial"/>
          <w:sz w:val="24"/>
          <w:szCs w:val="24"/>
        </w:rPr>
        <w:t xml:space="preserve"> “</w:t>
      </w:r>
      <w:r w:rsidRPr="00C97218">
        <w:rPr>
          <w:rFonts w:ascii="Arial" w:hAnsi="Arial" w:cs="Arial"/>
          <w:i/>
        </w:rPr>
        <w:t xml:space="preserve">Los empleados públicos o trabajadores oficiales tienen derecho a quince (15) días hábiles de vacaciones, por cada año de servicio, salvo lo que se </w:t>
      </w:r>
      <w:r w:rsidRPr="00C97218">
        <w:rPr>
          <w:rFonts w:ascii="Arial" w:hAnsi="Arial" w:cs="Arial"/>
          <w:i/>
        </w:rPr>
        <w:lastRenderedPageBreak/>
        <w:t>disponga por reglamentos especiales para empleados que desarrollan actividades especialmente insalubres o peligrosas”.</w:t>
      </w:r>
      <w:r>
        <w:rPr>
          <w:rFonts w:ascii="Arial" w:hAnsi="Arial" w:cs="Arial"/>
          <w:i/>
        </w:rPr>
        <w:t xml:space="preserve"> </w:t>
      </w:r>
      <w:r>
        <w:rPr>
          <w:rFonts w:ascii="Arial" w:hAnsi="Arial" w:cs="Arial"/>
          <w:sz w:val="24"/>
          <w:szCs w:val="24"/>
        </w:rPr>
        <w:t>Posteriormente, el artículo 5 del Decreto 1045 de 1978</w:t>
      </w:r>
      <w:r>
        <w:rPr>
          <w:rStyle w:val="Refdenotaalpie"/>
          <w:rFonts w:ascii="Arial" w:hAnsi="Arial" w:cs="Arial"/>
          <w:sz w:val="24"/>
          <w:szCs w:val="24"/>
        </w:rPr>
        <w:footnoteReference w:id="9"/>
      </w:r>
      <w:r>
        <w:rPr>
          <w:rFonts w:ascii="Arial" w:hAnsi="Arial" w:cs="Arial"/>
          <w:sz w:val="24"/>
          <w:szCs w:val="24"/>
        </w:rPr>
        <w:t xml:space="preserve"> se refirió a estas en los siguientes términos: </w:t>
      </w:r>
    </w:p>
    <w:p w:rsidR="00FE7E33" w:rsidRDefault="00FE7E33" w:rsidP="00F35DFD">
      <w:pPr>
        <w:widowControl w:val="0"/>
        <w:tabs>
          <w:tab w:val="left" w:pos="397"/>
        </w:tabs>
        <w:overflowPunct w:val="0"/>
        <w:autoSpaceDE w:val="0"/>
        <w:autoSpaceDN w:val="0"/>
        <w:adjustRightInd w:val="0"/>
        <w:jc w:val="both"/>
        <w:textAlignment w:val="baseline"/>
        <w:rPr>
          <w:rFonts w:ascii="Arial" w:hAnsi="Arial" w:cs="Arial"/>
          <w:sz w:val="24"/>
          <w:szCs w:val="24"/>
        </w:rPr>
      </w:pPr>
    </w:p>
    <w:p w:rsidR="00FE7E33" w:rsidRPr="005D4770" w:rsidRDefault="00FE7E33" w:rsidP="00F35DFD">
      <w:pPr>
        <w:shd w:val="clear" w:color="auto" w:fill="FFFFFF"/>
        <w:ind w:left="708"/>
        <w:rPr>
          <w:rFonts w:ascii="Arial" w:eastAsia="Times New Roman" w:hAnsi="Arial" w:cs="Arial"/>
          <w:i/>
          <w:lang w:eastAsia="es-CO"/>
        </w:rPr>
      </w:pPr>
      <w:r>
        <w:rPr>
          <w:rFonts w:ascii="Arial" w:eastAsia="Times New Roman" w:hAnsi="Arial" w:cs="Arial"/>
          <w:b/>
          <w:bCs/>
          <w:i/>
          <w:lang w:eastAsia="es-CO"/>
        </w:rPr>
        <w:t>“</w:t>
      </w:r>
      <w:r w:rsidRPr="005D4770">
        <w:rPr>
          <w:rFonts w:ascii="Arial" w:eastAsia="Times New Roman" w:hAnsi="Arial" w:cs="Arial"/>
          <w:b/>
          <w:bCs/>
          <w:i/>
          <w:lang w:eastAsia="es-CO"/>
        </w:rPr>
        <w:t>ARTÍCULO</w:t>
      </w:r>
      <w:bookmarkStart w:id="0" w:name="5"/>
      <w:r w:rsidRPr="005D4770">
        <w:rPr>
          <w:rFonts w:ascii="Arial" w:eastAsia="Times New Roman" w:hAnsi="Arial" w:cs="Arial"/>
          <w:b/>
          <w:bCs/>
          <w:i/>
          <w:lang w:eastAsia="es-CO"/>
        </w:rPr>
        <w:t> </w:t>
      </w:r>
      <w:bookmarkEnd w:id="0"/>
      <w:r w:rsidRPr="005D4770">
        <w:rPr>
          <w:rFonts w:ascii="Arial" w:eastAsia="Times New Roman" w:hAnsi="Arial" w:cs="Arial"/>
          <w:b/>
          <w:bCs/>
          <w:i/>
          <w:lang w:eastAsia="es-CO"/>
        </w:rPr>
        <w:t>5. </w:t>
      </w:r>
      <w:r w:rsidRPr="005D4770">
        <w:rPr>
          <w:rFonts w:ascii="Arial" w:eastAsia="Times New Roman" w:hAnsi="Arial" w:cs="Arial"/>
          <w:b/>
          <w:bCs/>
          <w:i/>
          <w:iCs/>
          <w:lang w:eastAsia="es-CO"/>
        </w:rPr>
        <w:t>De las prestaciones sociales</w:t>
      </w:r>
      <w:r w:rsidRPr="005D4770">
        <w:rPr>
          <w:rFonts w:ascii="Arial" w:eastAsia="Times New Roman" w:hAnsi="Arial" w:cs="Arial"/>
          <w:b/>
          <w:bCs/>
          <w:i/>
          <w:lang w:eastAsia="es-CO"/>
        </w:rPr>
        <w:t>.</w:t>
      </w:r>
      <w:r w:rsidRPr="005D4770">
        <w:rPr>
          <w:rFonts w:ascii="Arial" w:eastAsia="Times New Roman" w:hAnsi="Arial" w:cs="Arial"/>
          <w:i/>
          <w:lang w:eastAsia="es-CO"/>
        </w:rPr>
        <w:t> Sin perjuicio de lo dispuesto en normas especiales, los organismos a que se refiere el artículo 2 de este Decreto o las entidades de previsión, según el caso, reconocerán y pagarán las siguientes prestaciones sociales:</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 </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a) Asistencia médica, obstétrica, farmacéutica, quirúrgica y hospitalaria;</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b) Servicio odontológico;</w:t>
      </w:r>
    </w:p>
    <w:p w:rsidR="00FE7E33" w:rsidRPr="00DF1E25" w:rsidRDefault="00FE7E33" w:rsidP="00F35DFD">
      <w:pPr>
        <w:shd w:val="clear" w:color="auto" w:fill="FFFFFF"/>
        <w:ind w:left="708"/>
        <w:rPr>
          <w:rFonts w:ascii="Arial" w:eastAsia="Times New Roman" w:hAnsi="Arial" w:cs="Arial"/>
          <w:b/>
          <w:i/>
          <w:u w:val="single"/>
          <w:lang w:eastAsia="es-CO"/>
        </w:rPr>
      </w:pPr>
      <w:r w:rsidRPr="00DF1E25">
        <w:rPr>
          <w:rFonts w:ascii="Arial" w:eastAsia="Times New Roman" w:hAnsi="Arial" w:cs="Arial"/>
          <w:b/>
          <w:i/>
          <w:u w:val="single"/>
          <w:lang w:eastAsia="es-CO"/>
        </w:rPr>
        <w:t>c) Vacaciones;</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d) Prima de vacaciones;</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e) Prima de navidad;</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f) Auxilio por enfermedad;</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g) Indemnización por accidente de trabajo o enfermedad profesional;</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h) Auxilio de maternidad;</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i) Auxilio de cesantía;</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j) Pensión vitalicia de jubilación;</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l) Pensión de retiro por vejez;</w:t>
      </w:r>
    </w:p>
    <w:p w:rsidR="00FE7E33" w:rsidRPr="005D4770" w:rsidRDefault="00FE7E33" w:rsidP="00F35DFD">
      <w:pPr>
        <w:shd w:val="clear" w:color="auto" w:fill="FFFFFF"/>
        <w:ind w:left="708"/>
        <w:rPr>
          <w:rFonts w:ascii="Arial" w:eastAsia="Times New Roman" w:hAnsi="Arial" w:cs="Arial"/>
          <w:i/>
          <w:lang w:eastAsia="es-CO"/>
        </w:rPr>
      </w:pPr>
      <w:r w:rsidRPr="005D4770">
        <w:rPr>
          <w:rFonts w:ascii="Arial" w:eastAsia="Times New Roman" w:hAnsi="Arial" w:cs="Arial"/>
          <w:i/>
          <w:lang w:eastAsia="es-CO"/>
        </w:rPr>
        <w:t>m) Auxilio funerario;</w:t>
      </w:r>
    </w:p>
    <w:p w:rsidR="00FE7E33" w:rsidRPr="005D4770" w:rsidRDefault="00FE7E33" w:rsidP="00F35DFD">
      <w:pPr>
        <w:shd w:val="clear" w:color="auto" w:fill="FFFFFF"/>
        <w:ind w:left="708"/>
        <w:rPr>
          <w:rFonts w:ascii="Arial" w:eastAsia="Times New Roman" w:hAnsi="Arial" w:cs="Arial"/>
          <w:i/>
          <w:color w:val="4A4A4A"/>
          <w:lang w:eastAsia="es-CO"/>
        </w:rPr>
      </w:pPr>
      <w:r w:rsidRPr="005D4770">
        <w:rPr>
          <w:rFonts w:ascii="Arial" w:eastAsia="Times New Roman" w:hAnsi="Arial" w:cs="Arial"/>
          <w:i/>
          <w:lang w:eastAsia="es-CO"/>
        </w:rPr>
        <w:t>n) Seguro por muerte</w:t>
      </w:r>
      <w:r>
        <w:rPr>
          <w:rFonts w:ascii="Arial" w:eastAsia="Times New Roman" w:hAnsi="Arial" w:cs="Arial"/>
          <w:i/>
          <w:lang w:eastAsia="es-CO"/>
        </w:rPr>
        <w:t>”</w:t>
      </w:r>
      <w:r w:rsidRPr="005D4770">
        <w:rPr>
          <w:rFonts w:ascii="Arial" w:eastAsia="Times New Roman" w:hAnsi="Arial" w:cs="Arial"/>
          <w:i/>
          <w:lang w:eastAsia="es-CO"/>
        </w:rPr>
        <w:t>. </w:t>
      </w:r>
      <w:r>
        <w:rPr>
          <w:rFonts w:ascii="Arial" w:eastAsia="Times New Roman" w:hAnsi="Arial" w:cs="Arial"/>
          <w:i/>
          <w:lang w:eastAsia="es-CO"/>
        </w:rPr>
        <w:t>(Texto resaltado por la Sala)</w:t>
      </w:r>
    </w:p>
    <w:p w:rsidR="00FE7E33" w:rsidRDefault="00FE7E33" w:rsidP="00F35DFD">
      <w:pPr>
        <w:shd w:val="clear" w:color="auto" w:fill="FFFFFF"/>
        <w:jc w:val="both"/>
        <w:rPr>
          <w:rFonts w:ascii="Arial" w:eastAsia="Times New Roman" w:hAnsi="Arial" w:cs="Arial"/>
          <w:sz w:val="24"/>
          <w:szCs w:val="24"/>
          <w:lang w:eastAsia="es-CO"/>
        </w:rPr>
      </w:pPr>
    </w:p>
    <w:p w:rsidR="00FE7E33" w:rsidRDefault="00FE7E33" w:rsidP="00F35DFD">
      <w:pPr>
        <w:shd w:val="clear" w:color="auto" w:fill="FFFFFF"/>
        <w:spacing w:line="360" w:lineRule="auto"/>
        <w:jc w:val="both"/>
        <w:rPr>
          <w:rFonts w:ascii="Arial" w:eastAsia="Times New Roman" w:hAnsi="Arial" w:cs="Arial"/>
          <w:color w:val="4A4A4A"/>
          <w:sz w:val="36"/>
          <w:szCs w:val="36"/>
          <w:lang w:eastAsia="es-CO"/>
        </w:rPr>
      </w:pPr>
      <w:r>
        <w:rPr>
          <w:rFonts w:ascii="Arial" w:eastAsia="Times New Roman" w:hAnsi="Arial" w:cs="Arial"/>
          <w:sz w:val="24"/>
          <w:szCs w:val="24"/>
          <w:lang w:eastAsia="es-CO"/>
        </w:rPr>
        <w:t xml:space="preserve">Por su parte, la Ley 33 de 1985 estableció el régimen pensional para los empleados públicos, y en la Ley 62 del mismo año se indicó que la remuneración está constituida por factores salariales, sin incluir las vacaciones, así </w:t>
      </w:r>
      <w:r w:rsidRPr="005D4770">
        <w:rPr>
          <w:rFonts w:ascii="Arial" w:eastAsia="Times New Roman" w:hAnsi="Arial" w:cs="Arial"/>
          <w:sz w:val="24"/>
          <w:szCs w:val="24"/>
          <w:lang w:eastAsia="es-CO"/>
        </w:rPr>
        <w:t xml:space="preserve">específicamente </w:t>
      </w:r>
      <w:r>
        <w:rPr>
          <w:rFonts w:ascii="Arial" w:eastAsia="Times New Roman" w:hAnsi="Arial" w:cs="Arial"/>
          <w:sz w:val="24"/>
          <w:szCs w:val="24"/>
          <w:lang w:eastAsia="es-CO"/>
        </w:rPr>
        <w:t>se refirió a:</w:t>
      </w:r>
      <w:r w:rsidRPr="005D4770">
        <w:rPr>
          <w:rFonts w:ascii="Arial" w:eastAsia="Times New Roman" w:hAnsi="Arial" w:cs="Arial"/>
          <w:sz w:val="24"/>
          <w:szCs w:val="24"/>
          <w:lang w:eastAsia="es-CO"/>
        </w:rPr>
        <w:t xml:space="preserve"> </w:t>
      </w:r>
      <w:r w:rsidRPr="005D4770">
        <w:rPr>
          <w:rFonts w:ascii="Arial" w:eastAsia="Times New Roman" w:hAnsi="Arial" w:cs="Arial"/>
          <w:i/>
          <w:lang w:eastAsia="es-CO"/>
        </w:rPr>
        <w:t>“</w:t>
      </w:r>
      <w:r w:rsidRPr="005D4770">
        <w:rPr>
          <w:rFonts w:ascii="Arial" w:hAnsi="Arial" w:cs="Arial"/>
          <w:bCs/>
          <w:i/>
          <w:shd w:val="clear" w:color="auto" w:fill="FFFFFF"/>
        </w:rPr>
        <w:t>primas de antigüedad, técnica, ascensional y de capacitación; dominicales y feriados; horas extras; bonificación por servicios prestados; y trabajo suplementario o realizado en jornada nocturna o en día de descanso obligatorio”.</w:t>
      </w:r>
      <w:r w:rsidRPr="005D4770">
        <w:rPr>
          <w:rFonts w:ascii="Arial" w:eastAsia="Times New Roman" w:hAnsi="Arial" w:cs="Arial"/>
          <w:color w:val="4A4A4A"/>
          <w:sz w:val="36"/>
          <w:szCs w:val="36"/>
          <w:lang w:eastAsia="es-CO"/>
        </w:rPr>
        <w:t> </w:t>
      </w:r>
    </w:p>
    <w:p w:rsidR="00FE7E33" w:rsidRDefault="00FE7E33" w:rsidP="00F35DFD">
      <w:pPr>
        <w:shd w:val="clear" w:color="auto" w:fill="FFFFFF"/>
        <w:jc w:val="both"/>
        <w:rPr>
          <w:rFonts w:ascii="Arial" w:eastAsia="Times New Roman" w:hAnsi="Arial" w:cs="Arial"/>
          <w:sz w:val="24"/>
          <w:szCs w:val="24"/>
          <w:lang w:eastAsia="es-CO"/>
        </w:rPr>
      </w:pPr>
    </w:p>
    <w:p w:rsidR="00FE7E33" w:rsidRDefault="00FE7E33" w:rsidP="00F35DFD">
      <w:pPr>
        <w:shd w:val="clear" w:color="auto" w:fill="FFFFFF"/>
        <w:spacing w:line="360" w:lineRule="auto"/>
        <w:jc w:val="both"/>
        <w:rPr>
          <w:rFonts w:ascii="Arial" w:eastAsia="Times New Roman" w:hAnsi="Arial" w:cs="Arial"/>
          <w:bCs/>
          <w:sz w:val="24"/>
          <w:szCs w:val="24"/>
          <w:lang w:val="es-ES_tradnl" w:eastAsia="es-ES"/>
        </w:rPr>
      </w:pPr>
      <w:r>
        <w:rPr>
          <w:rFonts w:ascii="Arial" w:eastAsia="Times New Roman" w:hAnsi="Arial" w:cs="Arial"/>
          <w:sz w:val="24"/>
          <w:szCs w:val="24"/>
          <w:lang w:eastAsia="es-CO"/>
        </w:rPr>
        <w:t>De acuerdo con lo anterior</w:t>
      </w:r>
      <w:r w:rsidRPr="005D4770">
        <w:rPr>
          <w:rFonts w:ascii="Arial" w:eastAsia="Times New Roman" w:hAnsi="Arial" w:cs="Arial"/>
          <w:sz w:val="24"/>
          <w:szCs w:val="24"/>
          <w:lang w:eastAsia="es-CO"/>
        </w:rPr>
        <w:t xml:space="preserve">, se tiene que las vacaciones </w:t>
      </w:r>
      <w:r>
        <w:rPr>
          <w:rFonts w:ascii="Arial" w:eastAsia="Times New Roman" w:hAnsi="Arial" w:cs="Arial"/>
          <w:sz w:val="24"/>
          <w:szCs w:val="24"/>
          <w:lang w:eastAsia="es-CO"/>
        </w:rPr>
        <w:t xml:space="preserve">no constituyen un factor salarial. </w:t>
      </w:r>
      <w:r w:rsidRPr="00736522">
        <w:rPr>
          <w:rFonts w:ascii="Arial" w:eastAsia="Times New Roman" w:hAnsi="Arial" w:cs="Arial"/>
          <w:bCs/>
          <w:sz w:val="24"/>
          <w:szCs w:val="24"/>
          <w:lang w:val="es-ES_tradnl" w:eastAsia="es-ES"/>
        </w:rPr>
        <w:t>E</w:t>
      </w:r>
      <w:r>
        <w:rPr>
          <w:rFonts w:ascii="Arial" w:eastAsia="Times New Roman" w:hAnsi="Arial" w:cs="Arial"/>
          <w:bCs/>
          <w:sz w:val="24"/>
          <w:szCs w:val="24"/>
          <w:lang w:val="es-ES_tradnl" w:eastAsia="es-ES"/>
        </w:rPr>
        <w:t xml:space="preserve">n este sentido, en la sentencia de </w:t>
      </w:r>
      <w:r w:rsidRPr="00760A37">
        <w:rPr>
          <w:rFonts w:ascii="Arial" w:eastAsia="Times New Roman" w:hAnsi="Arial" w:cs="Arial"/>
          <w:bCs/>
          <w:sz w:val="24"/>
          <w:szCs w:val="24"/>
          <w:highlight w:val="yellow"/>
          <w:lang w:val="es-ES_tradnl" w:eastAsia="es-ES"/>
        </w:rPr>
        <w:t>4 de agosto de 2010</w:t>
      </w:r>
      <w:r>
        <w:rPr>
          <w:rFonts w:ascii="Arial" w:eastAsia="Times New Roman" w:hAnsi="Arial" w:cs="Arial"/>
          <w:bCs/>
          <w:sz w:val="24"/>
          <w:szCs w:val="24"/>
          <w:lang w:val="es-ES_tradnl" w:eastAsia="es-ES"/>
        </w:rPr>
        <w:t xml:space="preserve"> esta </w:t>
      </w:r>
      <w:r>
        <w:rPr>
          <w:rFonts w:ascii="Arial" w:eastAsia="Times New Roman" w:hAnsi="Arial" w:cs="Arial"/>
          <w:bCs/>
          <w:sz w:val="24"/>
          <w:szCs w:val="24"/>
          <w:lang w:val="es-ES_tradnl" w:eastAsia="es-ES"/>
        </w:rPr>
        <w:lastRenderedPageBreak/>
        <w:t xml:space="preserve">Sección se advirtió que las vacaciones son descanso remunerado que no es posible computar para efectos pensionales, así: </w:t>
      </w: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rPr>
      </w:pPr>
    </w:p>
    <w:p w:rsidR="00FE7E33" w:rsidRDefault="00FE7E33" w:rsidP="00F35DFD">
      <w:pPr>
        <w:widowControl w:val="0"/>
        <w:tabs>
          <w:tab w:val="left" w:pos="397"/>
        </w:tabs>
        <w:overflowPunct w:val="0"/>
        <w:autoSpaceDE w:val="0"/>
        <w:autoSpaceDN w:val="0"/>
        <w:adjustRightInd w:val="0"/>
        <w:ind w:left="397"/>
        <w:jc w:val="both"/>
        <w:textAlignment w:val="baseline"/>
        <w:rPr>
          <w:rFonts w:ascii="Arial" w:eastAsia="Times New Roman" w:hAnsi="Arial" w:cs="Arial"/>
          <w:bCs/>
          <w:i/>
          <w:lang w:val="es-ES_tradnl" w:eastAsia="es-ES"/>
        </w:rPr>
      </w:pPr>
      <w:r w:rsidRPr="00AE7EE9">
        <w:rPr>
          <w:rFonts w:ascii="Arial" w:eastAsia="Times New Roman" w:hAnsi="Arial" w:cs="Arial"/>
          <w:bCs/>
          <w:i/>
          <w:lang w:val="es-ES_tradnl" w:eastAsia="es-ES"/>
        </w:rPr>
        <w:t>“(...) No es posible incluir la indemnización de vacaciones toda vez que las vacaciones no son salario ni prestación, sino que corresponden a un descanso remunerado para el trabajador, por lo cual, no es posible computarlas para fines pensionales. En efecto, esta corporación ha precisado que la compensación monetaria, que se otorga al trabajador cuando no disfruta de sus vacaciones, no puede servir de base salarial para liquidar la pensión de jubilación. Por estas razones se comparte la decisión de primera instancia, en la medida que no ordenó la inclusión de este factor dentro del salario base de liquidación pensional (...)”</w:t>
      </w:r>
      <w:r>
        <w:rPr>
          <w:rStyle w:val="Refdenotaalpie"/>
          <w:rFonts w:ascii="Arial" w:eastAsia="Times New Roman" w:hAnsi="Arial" w:cs="Arial"/>
          <w:bCs/>
          <w:sz w:val="24"/>
          <w:szCs w:val="24"/>
          <w:lang w:val="es-ES_tradnl" w:eastAsia="es-ES"/>
        </w:rPr>
        <w:footnoteReference w:id="10"/>
      </w:r>
      <w:r w:rsidRPr="00AE7EE9">
        <w:rPr>
          <w:rFonts w:ascii="Arial" w:eastAsia="Times New Roman" w:hAnsi="Arial" w:cs="Arial"/>
          <w:bCs/>
          <w:i/>
          <w:lang w:val="es-ES_tradnl" w:eastAsia="es-ES"/>
        </w:rPr>
        <w:t>.</w:t>
      </w:r>
    </w:p>
    <w:p w:rsidR="00FE7E33" w:rsidRDefault="00FE7E33" w:rsidP="00F35DFD">
      <w:pPr>
        <w:widowControl w:val="0"/>
        <w:tabs>
          <w:tab w:val="left" w:pos="397"/>
        </w:tabs>
        <w:overflowPunct w:val="0"/>
        <w:autoSpaceDE w:val="0"/>
        <w:autoSpaceDN w:val="0"/>
        <w:adjustRightInd w:val="0"/>
        <w:ind w:left="397"/>
        <w:jc w:val="both"/>
        <w:textAlignment w:val="baseline"/>
        <w:rPr>
          <w:rFonts w:ascii="Arial" w:eastAsia="Times New Roman" w:hAnsi="Arial" w:cs="Arial"/>
          <w:bCs/>
          <w:i/>
          <w:lang w:val="es-ES_tradnl" w:eastAsia="es-ES"/>
        </w:rPr>
      </w:pP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eastAsia="Dotum" w:hAnsi="Arial" w:cs="Arial"/>
          <w:bCs/>
          <w:sz w:val="24"/>
          <w:szCs w:val="24"/>
          <w:lang w:val="es-ES" w:eastAsia="es-ES"/>
        </w:rPr>
      </w:pPr>
      <w:r>
        <w:rPr>
          <w:rFonts w:ascii="Arial" w:eastAsia="Dotum" w:hAnsi="Arial" w:cs="Arial"/>
          <w:bCs/>
          <w:sz w:val="24"/>
          <w:szCs w:val="24"/>
          <w:lang w:val="es-ES" w:eastAsia="es-ES"/>
        </w:rPr>
        <w:t>Igualmente,</w:t>
      </w:r>
      <w:r w:rsidRPr="00FF6BD7">
        <w:rPr>
          <w:rFonts w:ascii="Arial" w:eastAsia="Dotum" w:hAnsi="Arial" w:cs="Arial"/>
          <w:b/>
          <w:bCs/>
          <w:sz w:val="24"/>
          <w:szCs w:val="24"/>
          <w:lang w:val="es-ES" w:eastAsia="es-ES"/>
        </w:rPr>
        <w:t xml:space="preserve"> </w:t>
      </w:r>
      <w:r>
        <w:rPr>
          <w:rFonts w:ascii="Arial" w:eastAsia="Dotum" w:hAnsi="Arial" w:cs="Arial"/>
          <w:bCs/>
          <w:sz w:val="24"/>
          <w:szCs w:val="24"/>
          <w:lang w:val="es-ES" w:eastAsia="es-ES"/>
        </w:rPr>
        <w:t xml:space="preserve">esta Corporación en distintos pronunciamientos ha considerado que las vacaciones no son salario ni prestación: </w:t>
      </w:r>
    </w:p>
    <w:p w:rsidR="00FE7E33" w:rsidRPr="00760A37" w:rsidRDefault="00FE7E33" w:rsidP="00F35DFD">
      <w:pPr>
        <w:widowControl w:val="0"/>
        <w:tabs>
          <w:tab w:val="left" w:pos="397"/>
        </w:tabs>
        <w:overflowPunct w:val="0"/>
        <w:autoSpaceDE w:val="0"/>
        <w:autoSpaceDN w:val="0"/>
        <w:adjustRightInd w:val="0"/>
        <w:jc w:val="both"/>
        <w:textAlignment w:val="baseline"/>
        <w:rPr>
          <w:rFonts w:ascii="Arial" w:eastAsia="Dotum" w:hAnsi="Arial" w:cs="Arial"/>
          <w:bCs/>
          <w:sz w:val="24"/>
          <w:szCs w:val="24"/>
          <w:lang w:val="es-ES" w:eastAsia="es-ES"/>
        </w:rPr>
      </w:pPr>
    </w:p>
    <w:p w:rsidR="00FE7E33" w:rsidRPr="0081697A" w:rsidRDefault="00FE7E33" w:rsidP="00F35DFD">
      <w:pPr>
        <w:widowControl w:val="0"/>
        <w:tabs>
          <w:tab w:val="left" w:pos="397"/>
        </w:tabs>
        <w:overflowPunct w:val="0"/>
        <w:autoSpaceDE w:val="0"/>
        <w:autoSpaceDN w:val="0"/>
        <w:adjustRightInd w:val="0"/>
        <w:ind w:left="397"/>
        <w:jc w:val="both"/>
        <w:textAlignment w:val="baseline"/>
        <w:rPr>
          <w:rFonts w:ascii="Arial" w:eastAsia="Times New Roman" w:hAnsi="Arial" w:cs="Arial"/>
          <w:bCs/>
          <w:i/>
          <w:lang w:val="es-ES_tradnl" w:eastAsia="es-ES"/>
        </w:rPr>
      </w:pPr>
      <w:r w:rsidRPr="0081697A">
        <w:rPr>
          <w:rFonts w:ascii="Arial" w:eastAsia="Times New Roman" w:hAnsi="Arial" w:cs="Arial"/>
          <w:bCs/>
          <w:i/>
          <w:lang w:val="es-ES_tradnl" w:eastAsia="es-ES"/>
        </w:rPr>
        <w:t>“Es preciso indicar, como lo señaló el tribunal acogiendo la jurisprudencia de esta corporación que no es posible incluir la indemnización de vacaciones, toda vez que estas no son salario ni prestación, sino que corresponden a un descanso remunerado para el trabajador, por lo cual, no es posible computarlas para fines pensionales. En efecto, se ha precisado que la compensación monetaria, que se otorga al trabajador cuando no disfruta de sus vacaciones, no puede servir de base salarial para liquidar la pensión de jubilación (...)”</w:t>
      </w:r>
      <w:r>
        <w:rPr>
          <w:rStyle w:val="Refdenotaalpie"/>
          <w:rFonts w:ascii="Arial" w:eastAsia="Times New Roman" w:hAnsi="Arial" w:cs="Arial"/>
          <w:bCs/>
          <w:i/>
          <w:lang w:val="es-ES_tradnl" w:eastAsia="es-ES"/>
        </w:rPr>
        <w:footnoteReference w:id="11"/>
      </w:r>
      <w:r w:rsidRPr="0081697A">
        <w:rPr>
          <w:rFonts w:ascii="Arial" w:eastAsia="Times New Roman" w:hAnsi="Arial" w:cs="Arial"/>
          <w:bCs/>
          <w:i/>
          <w:lang w:val="es-ES_tradnl" w:eastAsia="es-ES"/>
        </w:rPr>
        <w:t>.</w:t>
      </w: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eastAsia="Times New Roman" w:hAnsi="Arial" w:cs="Arial"/>
          <w:bCs/>
          <w:sz w:val="24"/>
          <w:szCs w:val="24"/>
          <w:lang w:val="es-ES_tradnl" w:eastAsia="es-ES"/>
        </w:rPr>
      </w:pP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eastAsia="Dotum" w:hAnsi="Arial" w:cs="Arial"/>
          <w:bCs/>
          <w:sz w:val="24"/>
          <w:szCs w:val="24"/>
          <w:lang w:val="es-ES" w:eastAsia="es-ES"/>
        </w:rPr>
      </w:pPr>
      <w:r>
        <w:rPr>
          <w:rFonts w:ascii="Arial" w:eastAsia="Dotum" w:hAnsi="Arial" w:cs="Arial"/>
          <w:bCs/>
          <w:sz w:val="24"/>
          <w:szCs w:val="24"/>
          <w:lang w:val="es-ES" w:eastAsia="es-ES"/>
        </w:rPr>
        <w:t>Precisado lo anterior, l</w:t>
      </w:r>
      <w:r w:rsidRPr="00ED339E">
        <w:rPr>
          <w:rFonts w:ascii="Arial" w:eastAsia="Dotum" w:hAnsi="Arial" w:cs="Arial"/>
          <w:bCs/>
          <w:sz w:val="24"/>
          <w:szCs w:val="24"/>
          <w:lang w:val="es-ES" w:eastAsia="es-ES"/>
        </w:rPr>
        <w:t>a Sala destaca que</w:t>
      </w:r>
      <w:r>
        <w:rPr>
          <w:rFonts w:ascii="Arial" w:eastAsia="Dotum" w:hAnsi="Arial" w:cs="Arial"/>
          <w:bCs/>
          <w:sz w:val="24"/>
          <w:szCs w:val="24"/>
          <w:lang w:val="es-ES" w:eastAsia="es-ES"/>
        </w:rPr>
        <w:t xml:space="preserve"> las vacaciones de acuerdo con lo dicho por esta Corporación, constituyen un pago que corresponde al reconocimiento en tiempo libre y en dinero a los empleados que cumplan un año de servicios, pero no constituyen factor de salario que sirva de base para el cálculo de la pensión</w:t>
      </w:r>
      <w:r>
        <w:rPr>
          <w:rStyle w:val="Refdenotaalpie"/>
          <w:rFonts w:ascii="Arial" w:hAnsi="Arial" w:cs="Arial"/>
          <w:i/>
          <w:shd w:val="clear" w:color="auto" w:fill="FFFFFF"/>
        </w:rPr>
        <w:footnoteReference w:id="12"/>
      </w:r>
      <w:r>
        <w:rPr>
          <w:rFonts w:ascii="Arial" w:eastAsia="Dotum" w:hAnsi="Arial" w:cs="Arial"/>
          <w:bCs/>
          <w:sz w:val="24"/>
          <w:szCs w:val="24"/>
          <w:lang w:val="es-ES" w:eastAsia="es-ES"/>
        </w:rPr>
        <w:t>.</w:t>
      </w:r>
    </w:p>
    <w:p w:rsidR="00FE7E33" w:rsidRDefault="00FE7E33" w:rsidP="00F35DFD">
      <w:pPr>
        <w:widowControl w:val="0"/>
        <w:tabs>
          <w:tab w:val="left" w:pos="397"/>
        </w:tabs>
        <w:overflowPunct w:val="0"/>
        <w:autoSpaceDE w:val="0"/>
        <w:autoSpaceDN w:val="0"/>
        <w:adjustRightInd w:val="0"/>
        <w:jc w:val="both"/>
        <w:textAlignment w:val="baseline"/>
        <w:rPr>
          <w:rFonts w:ascii="Arial" w:eastAsia="Dotum" w:hAnsi="Arial" w:cs="Arial"/>
          <w:bCs/>
          <w:sz w:val="24"/>
          <w:szCs w:val="24"/>
          <w:lang w:val="es-ES" w:eastAsia="es-ES"/>
        </w:rPr>
      </w:pP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eastAsia="Dotum" w:hAnsi="Arial" w:cs="Arial"/>
          <w:bCs/>
          <w:sz w:val="24"/>
          <w:szCs w:val="24"/>
          <w:lang w:val="es-ES" w:eastAsia="es-ES"/>
        </w:rPr>
      </w:pPr>
      <w:r>
        <w:rPr>
          <w:rFonts w:ascii="Arial" w:eastAsia="Dotum" w:hAnsi="Arial" w:cs="Arial"/>
          <w:bCs/>
          <w:sz w:val="24"/>
          <w:szCs w:val="24"/>
          <w:lang w:val="es-ES" w:eastAsia="es-ES"/>
        </w:rPr>
        <w:t xml:space="preserve">La Sala no pasa por alto que el criterio vigente respecto al ingreso base de liquidación, el cual incluye los factores, está contenido en la sentencia de la Sala Plena Contenciosa del Consejo de Estado del 28 de agosto de 2018, sin embargo, en el presente caso no se estudiará su aplicación porque no hace </w:t>
      </w:r>
      <w:r>
        <w:rPr>
          <w:rFonts w:ascii="Arial" w:eastAsia="Dotum" w:hAnsi="Arial" w:cs="Arial"/>
          <w:bCs/>
          <w:sz w:val="24"/>
          <w:szCs w:val="24"/>
          <w:lang w:val="es-ES" w:eastAsia="es-ES"/>
        </w:rPr>
        <w:lastRenderedPageBreak/>
        <w:t xml:space="preserve">parte del debate planteado por la UGPP. </w:t>
      </w:r>
    </w:p>
    <w:p w:rsidR="00FE7E33" w:rsidRPr="00ED339E" w:rsidRDefault="00FE7E33" w:rsidP="00F35DFD">
      <w:pPr>
        <w:widowControl w:val="0"/>
        <w:tabs>
          <w:tab w:val="left" w:pos="7938"/>
        </w:tabs>
        <w:ind w:right="510"/>
        <w:jc w:val="both"/>
        <w:rPr>
          <w:rFonts w:ascii="Arial" w:hAnsi="Arial" w:cs="Arial"/>
          <w:iCs/>
          <w:sz w:val="24"/>
          <w:szCs w:val="24"/>
        </w:rPr>
      </w:pPr>
    </w:p>
    <w:p w:rsidR="00FE7E33" w:rsidRPr="00DF1B81" w:rsidRDefault="00FE7E33" w:rsidP="00F35DFD">
      <w:pPr>
        <w:widowControl w:val="0"/>
        <w:spacing w:line="360" w:lineRule="auto"/>
        <w:jc w:val="both"/>
        <w:rPr>
          <w:rFonts w:ascii="Arial" w:hAnsi="Arial" w:cs="Arial"/>
          <w:sz w:val="24"/>
          <w:szCs w:val="24"/>
        </w:rPr>
      </w:pPr>
      <w:bookmarkStart w:id="1" w:name="_GoBack"/>
      <w:r w:rsidRPr="00DD37C1">
        <w:rPr>
          <w:rFonts w:ascii="Arial" w:hAnsi="Arial" w:cs="Arial"/>
          <w:sz w:val="24"/>
          <w:szCs w:val="24"/>
        </w:rPr>
        <w:t xml:space="preserve">Con base en lo expuesto, la Sala declarará fundado el recurso interpuesto por la </w:t>
      </w:r>
      <w:r>
        <w:rPr>
          <w:rFonts w:ascii="Arial" w:hAnsi="Arial" w:cs="Arial"/>
          <w:sz w:val="24"/>
          <w:szCs w:val="24"/>
        </w:rPr>
        <w:t>UGPP</w:t>
      </w:r>
      <w:r w:rsidRPr="00DD37C1">
        <w:rPr>
          <w:rFonts w:ascii="Arial" w:hAnsi="Arial" w:cs="Arial"/>
          <w:sz w:val="24"/>
          <w:szCs w:val="24"/>
        </w:rPr>
        <w:t xml:space="preserve">, al encontrar probada la causal invocada, es decir, al estar demostrado que la cuantía de la pensión de jubilación reconocida al señor </w:t>
      </w:r>
      <w:r>
        <w:rPr>
          <w:rFonts w:ascii="Arial" w:hAnsi="Arial" w:cs="Arial"/>
          <w:sz w:val="24"/>
          <w:szCs w:val="24"/>
        </w:rPr>
        <w:t>Cardona Gutiérrez</w:t>
      </w:r>
      <w:r w:rsidRPr="00DD37C1">
        <w:rPr>
          <w:rFonts w:ascii="Arial" w:hAnsi="Arial" w:cs="Arial"/>
          <w:sz w:val="24"/>
          <w:szCs w:val="24"/>
        </w:rPr>
        <w:t xml:space="preserve"> excede lo debido de acuerdo</w:t>
      </w:r>
      <w:r>
        <w:rPr>
          <w:rFonts w:ascii="Arial" w:hAnsi="Arial" w:cs="Arial"/>
          <w:sz w:val="24"/>
          <w:szCs w:val="24"/>
        </w:rPr>
        <w:t xml:space="preserve"> con </w:t>
      </w:r>
      <w:r w:rsidRPr="00DD37C1">
        <w:rPr>
          <w:rFonts w:ascii="Arial" w:hAnsi="Arial" w:cs="Arial"/>
          <w:sz w:val="24"/>
          <w:szCs w:val="24"/>
        </w:rPr>
        <w:t>la ley</w:t>
      </w:r>
      <w:r>
        <w:rPr>
          <w:rFonts w:ascii="Arial" w:hAnsi="Arial" w:cs="Arial"/>
          <w:sz w:val="24"/>
          <w:szCs w:val="24"/>
        </w:rPr>
        <w:t xml:space="preserve">, porque se incluyeron en el </w:t>
      </w:r>
      <w:r w:rsidRPr="00DD37C1">
        <w:rPr>
          <w:rFonts w:ascii="Arial" w:hAnsi="Arial" w:cs="Arial"/>
          <w:sz w:val="24"/>
          <w:szCs w:val="24"/>
        </w:rPr>
        <w:t xml:space="preserve">IBL </w:t>
      </w:r>
      <w:r>
        <w:rPr>
          <w:rFonts w:ascii="Arial" w:hAnsi="Arial" w:cs="Arial"/>
          <w:sz w:val="24"/>
          <w:szCs w:val="24"/>
        </w:rPr>
        <w:t>las vacaciones, como factor salarial sin serlo</w:t>
      </w:r>
      <w:r w:rsidRPr="00DF1B81">
        <w:rPr>
          <w:rFonts w:ascii="Arial" w:hAnsi="Arial" w:cs="Arial"/>
          <w:sz w:val="24"/>
          <w:szCs w:val="24"/>
        </w:rPr>
        <w:t xml:space="preserve">. Bajo ese entendido, la Sala revocará parcialmente y solo respecto del </w:t>
      </w:r>
      <w:r>
        <w:rPr>
          <w:rFonts w:ascii="Arial" w:hAnsi="Arial" w:cs="Arial"/>
          <w:sz w:val="24"/>
          <w:szCs w:val="24"/>
        </w:rPr>
        <w:t xml:space="preserve">emolumento </w:t>
      </w:r>
      <w:r w:rsidRPr="00DF1B81">
        <w:rPr>
          <w:rFonts w:ascii="Arial" w:hAnsi="Arial" w:cs="Arial"/>
          <w:sz w:val="24"/>
          <w:szCs w:val="24"/>
        </w:rPr>
        <w:t xml:space="preserve">anotado, el fallo de </w:t>
      </w:r>
      <w:r>
        <w:rPr>
          <w:rFonts w:ascii="Arial" w:hAnsi="Arial" w:cs="Arial"/>
          <w:sz w:val="24"/>
          <w:szCs w:val="24"/>
        </w:rPr>
        <w:t xml:space="preserve">5 de septiembre de 2013 </w:t>
      </w:r>
      <w:r w:rsidRPr="00DF1B81">
        <w:rPr>
          <w:rFonts w:ascii="Arial" w:hAnsi="Arial" w:cs="Arial"/>
          <w:sz w:val="24"/>
          <w:szCs w:val="24"/>
        </w:rPr>
        <w:t>proferido el T</w:t>
      </w:r>
      <w:r>
        <w:rPr>
          <w:rFonts w:ascii="Arial" w:hAnsi="Arial" w:cs="Arial"/>
          <w:sz w:val="24"/>
          <w:szCs w:val="24"/>
        </w:rPr>
        <w:t>ribunal Administrativo del Chocó</w:t>
      </w:r>
      <w:r w:rsidRPr="00DF1B81">
        <w:rPr>
          <w:rFonts w:ascii="Arial" w:hAnsi="Arial" w:cs="Arial"/>
          <w:sz w:val="24"/>
          <w:szCs w:val="24"/>
        </w:rPr>
        <w:t xml:space="preserve"> y en su lugar, ordenará </w:t>
      </w:r>
      <w:r>
        <w:rPr>
          <w:rFonts w:ascii="Arial" w:hAnsi="Arial" w:cs="Arial"/>
          <w:sz w:val="24"/>
          <w:szCs w:val="24"/>
        </w:rPr>
        <w:t>la reliquidación de la mesada</w:t>
      </w:r>
      <w:r w:rsidRPr="00DF1B81">
        <w:rPr>
          <w:rFonts w:ascii="Arial" w:hAnsi="Arial" w:cs="Arial"/>
          <w:sz w:val="24"/>
          <w:szCs w:val="24"/>
        </w:rPr>
        <w:t xml:space="preserve"> </w:t>
      </w:r>
      <w:r>
        <w:rPr>
          <w:rFonts w:ascii="Arial" w:hAnsi="Arial" w:cs="Arial"/>
          <w:sz w:val="24"/>
          <w:szCs w:val="24"/>
        </w:rPr>
        <w:t>excluyendo las vacaciones</w:t>
      </w:r>
      <w:r w:rsidRPr="00DF1B81">
        <w:rPr>
          <w:rFonts w:ascii="Arial" w:hAnsi="Arial" w:cs="Arial"/>
          <w:sz w:val="24"/>
          <w:szCs w:val="24"/>
        </w:rPr>
        <w:t>, como se indicará en la sentencia de reemplazo.</w:t>
      </w:r>
    </w:p>
    <w:bookmarkEnd w:id="1"/>
    <w:p w:rsidR="00FE7E33" w:rsidRDefault="00FE7E33" w:rsidP="00F35DFD">
      <w:pPr>
        <w:widowControl w:val="0"/>
        <w:tabs>
          <w:tab w:val="left" w:pos="397"/>
        </w:tabs>
        <w:overflowPunct w:val="0"/>
        <w:autoSpaceDE w:val="0"/>
        <w:autoSpaceDN w:val="0"/>
        <w:adjustRightInd w:val="0"/>
        <w:jc w:val="both"/>
        <w:textAlignment w:val="baseline"/>
        <w:rPr>
          <w:rFonts w:ascii="Arial" w:eastAsia="Dotum" w:hAnsi="Arial" w:cs="Arial"/>
          <w:bCs/>
          <w:sz w:val="24"/>
          <w:szCs w:val="24"/>
          <w:lang w:val="es-ES" w:eastAsia="es-ES"/>
        </w:rPr>
      </w:pPr>
    </w:p>
    <w:p w:rsidR="00FE7E33" w:rsidRPr="00DF1B81" w:rsidRDefault="00FE7E33" w:rsidP="00F35DFD">
      <w:pPr>
        <w:widowControl w:val="0"/>
        <w:spacing w:line="360" w:lineRule="auto"/>
        <w:jc w:val="both"/>
        <w:rPr>
          <w:rFonts w:ascii="Arial" w:hAnsi="Arial" w:cs="Arial"/>
          <w:b/>
          <w:sz w:val="24"/>
          <w:szCs w:val="24"/>
        </w:rPr>
      </w:pPr>
      <w:r>
        <w:rPr>
          <w:rFonts w:ascii="Arial" w:hAnsi="Arial" w:cs="Arial"/>
          <w:b/>
          <w:sz w:val="24"/>
          <w:szCs w:val="24"/>
        </w:rPr>
        <w:t>4</w:t>
      </w:r>
      <w:r w:rsidRPr="002A429B">
        <w:rPr>
          <w:rFonts w:ascii="Arial" w:hAnsi="Arial" w:cs="Arial"/>
          <w:b/>
          <w:sz w:val="24"/>
          <w:szCs w:val="24"/>
        </w:rPr>
        <w:t>. SENTENCIA DE REEMPLAZO</w:t>
      </w:r>
    </w:p>
    <w:p w:rsidR="00FE7E33" w:rsidRPr="00DF1B81" w:rsidRDefault="00FE7E33" w:rsidP="00F35DFD">
      <w:pPr>
        <w:widowControl w:val="0"/>
        <w:rPr>
          <w:rFonts w:ascii="Arial" w:hAnsi="Arial" w:cs="Arial"/>
          <w:sz w:val="24"/>
          <w:szCs w:val="24"/>
        </w:rPr>
      </w:pPr>
    </w:p>
    <w:p w:rsidR="00FE7E33" w:rsidRPr="00DF1B81" w:rsidRDefault="00FE7E33" w:rsidP="00F35DFD">
      <w:pPr>
        <w:widowControl w:val="0"/>
        <w:spacing w:line="360" w:lineRule="auto"/>
        <w:jc w:val="both"/>
        <w:rPr>
          <w:rFonts w:ascii="Arial" w:hAnsi="Arial" w:cs="Arial"/>
          <w:b/>
          <w:sz w:val="24"/>
          <w:szCs w:val="24"/>
        </w:rPr>
      </w:pPr>
      <w:r>
        <w:rPr>
          <w:rFonts w:ascii="Arial" w:hAnsi="Arial" w:cs="Arial"/>
          <w:b/>
          <w:sz w:val="24"/>
          <w:szCs w:val="24"/>
        </w:rPr>
        <w:t>4.</w:t>
      </w:r>
      <w:r w:rsidRPr="00DF1B81">
        <w:rPr>
          <w:rFonts w:ascii="Arial" w:hAnsi="Arial" w:cs="Arial"/>
          <w:b/>
          <w:sz w:val="24"/>
          <w:szCs w:val="24"/>
        </w:rPr>
        <w:t>1 Demanda</w:t>
      </w:r>
    </w:p>
    <w:p w:rsidR="00FE7E33" w:rsidRPr="00DF1B81" w:rsidRDefault="00FE7E33" w:rsidP="00F35DFD">
      <w:pPr>
        <w:widowControl w:val="0"/>
        <w:rPr>
          <w:rFonts w:ascii="Arial" w:hAnsi="Arial" w:cs="Arial"/>
          <w:sz w:val="24"/>
          <w:szCs w:val="24"/>
        </w:rPr>
      </w:pPr>
    </w:p>
    <w:p w:rsidR="00FE7E33" w:rsidRDefault="00FE7E33" w:rsidP="00F35DFD">
      <w:pPr>
        <w:widowControl w:val="0"/>
        <w:spacing w:line="360" w:lineRule="auto"/>
        <w:jc w:val="both"/>
        <w:rPr>
          <w:rFonts w:ascii="Arial" w:hAnsi="Arial" w:cs="Arial"/>
          <w:sz w:val="24"/>
          <w:szCs w:val="24"/>
        </w:rPr>
      </w:pPr>
      <w:r w:rsidRPr="00DF1B81">
        <w:rPr>
          <w:rFonts w:ascii="Arial" w:hAnsi="Arial" w:cs="Arial"/>
          <w:sz w:val="24"/>
          <w:szCs w:val="24"/>
        </w:rPr>
        <w:t xml:space="preserve">En ejercicio de la acción de nulidad y restablecimiento del derecho el señor </w:t>
      </w:r>
      <w:r>
        <w:rPr>
          <w:rFonts w:ascii="Arial" w:hAnsi="Arial" w:cs="Arial"/>
          <w:sz w:val="24"/>
          <w:szCs w:val="24"/>
        </w:rPr>
        <w:t xml:space="preserve">Omar Perea </w:t>
      </w:r>
      <w:proofErr w:type="spellStart"/>
      <w:r>
        <w:rPr>
          <w:rFonts w:ascii="Arial" w:hAnsi="Arial" w:cs="Arial"/>
          <w:sz w:val="24"/>
          <w:szCs w:val="24"/>
        </w:rPr>
        <w:t>Romaña</w:t>
      </w:r>
      <w:proofErr w:type="spellEnd"/>
      <w:r w:rsidRPr="00DF1B81">
        <w:rPr>
          <w:rFonts w:ascii="Arial" w:hAnsi="Arial" w:cs="Arial"/>
          <w:sz w:val="24"/>
          <w:szCs w:val="24"/>
        </w:rPr>
        <w:t xml:space="preserve">, a través de apoderado judicial, solicitó la nulidad parcial de las Resoluciones </w:t>
      </w:r>
      <w:r>
        <w:rPr>
          <w:rFonts w:ascii="Arial" w:hAnsi="Arial" w:cs="Arial"/>
          <w:sz w:val="24"/>
          <w:szCs w:val="24"/>
        </w:rPr>
        <w:t xml:space="preserve">44365 de 20 de diciembre de 1993, 16660 de 2 de julio de 2002 y PAP 056953 de 10 de junio de 2011. </w:t>
      </w:r>
      <w:r w:rsidRPr="00DF1B81">
        <w:rPr>
          <w:rFonts w:ascii="Arial" w:hAnsi="Arial" w:cs="Arial"/>
          <w:sz w:val="24"/>
          <w:szCs w:val="24"/>
        </w:rPr>
        <w:t xml:space="preserve">A título de restablecimiento del derecho entre otros aspectos, pidió que se ordenara a la entidad demandada </w:t>
      </w:r>
      <w:r>
        <w:rPr>
          <w:rFonts w:ascii="Arial" w:hAnsi="Arial" w:cs="Arial"/>
          <w:sz w:val="24"/>
          <w:szCs w:val="24"/>
        </w:rPr>
        <w:t xml:space="preserve">la reliquidación de la pensión </w:t>
      </w:r>
      <w:r w:rsidRPr="00DF1B81">
        <w:rPr>
          <w:rFonts w:ascii="Arial" w:hAnsi="Arial" w:cs="Arial"/>
          <w:sz w:val="24"/>
          <w:szCs w:val="24"/>
        </w:rPr>
        <w:t xml:space="preserve">teniendo en cuenta </w:t>
      </w:r>
      <w:r>
        <w:rPr>
          <w:rFonts w:ascii="Arial" w:hAnsi="Arial" w:cs="Arial"/>
          <w:sz w:val="24"/>
          <w:szCs w:val="24"/>
        </w:rPr>
        <w:t>todos los factores salariales devengados en el último año de servicios.</w:t>
      </w:r>
      <w:r w:rsidRPr="00DF1B81">
        <w:rPr>
          <w:rFonts w:ascii="Arial" w:hAnsi="Arial" w:cs="Arial"/>
          <w:sz w:val="24"/>
          <w:szCs w:val="24"/>
        </w:rPr>
        <w:t xml:space="preserve"> </w:t>
      </w:r>
    </w:p>
    <w:p w:rsidR="00FE7E33" w:rsidRPr="00DF1B81" w:rsidRDefault="00FE7E33" w:rsidP="00F35DFD">
      <w:pPr>
        <w:widowControl w:val="0"/>
        <w:jc w:val="both"/>
        <w:rPr>
          <w:rFonts w:ascii="Arial" w:hAnsi="Arial" w:cs="Arial"/>
          <w:sz w:val="24"/>
          <w:szCs w:val="24"/>
        </w:rPr>
      </w:pPr>
    </w:p>
    <w:p w:rsidR="00FE7E33" w:rsidRDefault="00FE7E33" w:rsidP="00F35DFD">
      <w:pPr>
        <w:widowControl w:val="0"/>
        <w:spacing w:line="360" w:lineRule="auto"/>
        <w:jc w:val="both"/>
        <w:rPr>
          <w:rFonts w:ascii="Arial" w:hAnsi="Arial" w:cs="Arial"/>
          <w:sz w:val="24"/>
          <w:szCs w:val="24"/>
        </w:rPr>
      </w:pPr>
      <w:r>
        <w:rPr>
          <w:rFonts w:ascii="Arial" w:hAnsi="Arial" w:cs="Arial"/>
          <w:sz w:val="24"/>
          <w:szCs w:val="24"/>
        </w:rPr>
        <w:t xml:space="preserve">Mediante sentencia de 19 de diciembre de 2012 el Juzgado Sexto Administrativo de Descongestión de Quibdó accedió a las súplicas de la demanda declarando la nulidad parcial de los actos acusados y ordenando el reconocimiento de la pensión </w:t>
      </w:r>
      <w:r w:rsidRPr="002F1876">
        <w:rPr>
          <w:rFonts w:ascii="Arial" w:hAnsi="Arial" w:cs="Arial"/>
          <w:i/>
        </w:rPr>
        <w:t>“</w:t>
      </w:r>
      <w:r>
        <w:rPr>
          <w:rFonts w:ascii="Arial" w:hAnsi="Arial" w:cs="Arial"/>
          <w:i/>
        </w:rPr>
        <w:t xml:space="preserve">en cuantía equivalente al 75% del promedio mensual devengado durante el último año de servicios, </w:t>
      </w:r>
      <w:proofErr w:type="spellStart"/>
      <w:r>
        <w:rPr>
          <w:rFonts w:ascii="Arial" w:hAnsi="Arial" w:cs="Arial"/>
          <w:i/>
        </w:rPr>
        <w:t>teninedo</w:t>
      </w:r>
      <w:proofErr w:type="spellEnd"/>
      <w:r>
        <w:rPr>
          <w:rFonts w:ascii="Arial" w:hAnsi="Arial" w:cs="Arial"/>
          <w:i/>
        </w:rPr>
        <w:t xml:space="preserve"> en cuenta como factores salariales, además de la asignación básica y bonificación por servicios prestados, los demás emolumentos por él percibidos tales como prima de alimentación, vacaciones, prima de vacaciones y demás certificados por su empleador</w:t>
      </w:r>
      <w:r w:rsidRPr="002F1876">
        <w:rPr>
          <w:rFonts w:ascii="Arial" w:hAnsi="Arial" w:cs="Arial"/>
          <w:i/>
        </w:rPr>
        <w:t>”</w:t>
      </w:r>
      <w:r>
        <w:rPr>
          <w:rFonts w:ascii="Arial" w:hAnsi="Arial" w:cs="Arial"/>
          <w:i/>
        </w:rPr>
        <w:t xml:space="preserve">; </w:t>
      </w:r>
      <w:r>
        <w:rPr>
          <w:rFonts w:ascii="Arial" w:hAnsi="Arial" w:cs="Arial"/>
          <w:sz w:val="24"/>
          <w:szCs w:val="24"/>
        </w:rPr>
        <w:t xml:space="preserve">Decisión que fue confirmada por el Tribunal Administrativo del Chocó  en fallo de 5 de </w:t>
      </w:r>
      <w:r>
        <w:rPr>
          <w:rFonts w:ascii="Arial" w:hAnsi="Arial" w:cs="Arial"/>
          <w:sz w:val="24"/>
          <w:szCs w:val="24"/>
        </w:rPr>
        <w:lastRenderedPageBreak/>
        <w:t>septiembre de 2013.</w:t>
      </w:r>
    </w:p>
    <w:p w:rsidR="00FE7E33" w:rsidRPr="00DF1B81" w:rsidRDefault="00FE7E33" w:rsidP="00F35DFD">
      <w:pPr>
        <w:widowControl w:val="0"/>
        <w:rPr>
          <w:rFonts w:ascii="Arial" w:hAnsi="Arial" w:cs="Arial"/>
          <w:sz w:val="24"/>
          <w:szCs w:val="24"/>
        </w:rPr>
      </w:pPr>
    </w:p>
    <w:p w:rsidR="00FE7E33" w:rsidRPr="00DF1B81" w:rsidRDefault="00FE7E33" w:rsidP="00F35DFD">
      <w:pPr>
        <w:widowControl w:val="0"/>
        <w:spacing w:line="360" w:lineRule="auto"/>
        <w:rPr>
          <w:rFonts w:ascii="Arial" w:hAnsi="Arial" w:cs="Arial"/>
          <w:b/>
          <w:sz w:val="24"/>
          <w:szCs w:val="24"/>
        </w:rPr>
      </w:pPr>
      <w:r>
        <w:rPr>
          <w:rFonts w:ascii="Arial" w:hAnsi="Arial" w:cs="Arial"/>
          <w:b/>
          <w:sz w:val="24"/>
          <w:szCs w:val="24"/>
        </w:rPr>
        <w:t>4</w:t>
      </w:r>
      <w:r w:rsidRPr="008B6F90">
        <w:rPr>
          <w:rFonts w:ascii="Arial" w:hAnsi="Arial" w:cs="Arial"/>
          <w:b/>
          <w:sz w:val="24"/>
          <w:szCs w:val="24"/>
        </w:rPr>
        <w:t>.2. Consideraciones de la Sala</w:t>
      </w:r>
    </w:p>
    <w:p w:rsidR="00FE7E33" w:rsidRPr="00DF1B81" w:rsidRDefault="00FE7E33" w:rsidP="00F35DFD">
      <w:pPr>
        <w:widowControl w:val="0"/>
        <w:rPr>
          <w:rFonts w:ascii="Arial" w:hAnsi="Arial" w:cs="Arial"/>
          <w:sz w:val="24"/>
          <w:szCs w:val="24"/>
        </w:rPr>
      </w:pPr>
    </w:p>
    <w:p w:rsidR="00FE7E33" w:rsidRPr="00DF1B81" w:rsidRDefault="00FE7E33" w:rsidP="00F35DFD">
      <w:pPr>
        <w:widowControl w:val="0"/>
        <w:spacing w:line="360" w:lineRule="auto"/>
        <w:jc w:val="both"/>
        <w:rPr>
          <w:rFonts w:ascii="Arial" w:hAnsi="Arial" w:cs="Arial"/>
          <w:sz w:val="24"/>
          <w:szCs w:val="24"/>
        </w:rPr>
      </w:pPr>
      <w:r>
        <w:rPr>
          <w:rFonts w:ascii="Arial" w:hAnsi="Arial" w:cs="Arial"/>
          <w:sz w:val="24"/>
          <w:szCs w:val="24"/>
        </w:rPr>
        <w:t>E</w:t>
      </w:r>
      <w:r w:rsidRPr="00DF1B81">
        <w:rPr>
          <w:rFonts w:ascii="Arial" w:hAnsi="Arial" w:cs="Arial"/>
          <w:sz w:val="24"/>
          <w:szCs w:val="24"/>
        </w:rPr>
        <w:t>l problema jurídico consiste en definir, ¿si la</w:t>
      </w:r>
      <w:r>
        <w:rPr>
          <w:rFonts w:ascii="Arial" w:hAnsi="Arial" w:cs="Arial"/>
          <w:sz w:val="24"/>
          <w:szCs w:val="24"/>
        </w:rPr>
        <w:t xml:space="preserve">s vacaciones constituyen factor salarial y deben incluirse, en el ingreso base de liquidación de la pensión </w:t>
      </w:r>
      <w:r w:rsidRPr="00DF1B81">
        <w:rPr>
          <w:rFonts w:ascii="Arial" w:hAnsi="Arial" w:cs="Arial"/>
          <w:sz w:val="24"/>
          <w:szCs w:val="24"/>
        </w:rPr>
        <w:t xml:space="preserve">de jubilación del señor </w:t>
      </w:r>
      <w:r>
        <w:rPr>
          <w:rFonts w:ascii="Arial" w:hAnsi="Arial" w:cs="Arial"/>
          <w:sz w:val="24"/>
          <w:szCs w:val="24"/>
        </w:rPr>
        <w:t xml:space="preserve">Omar Perea </w:t>
      </w:r>
      <w:proofErr w:type="spellStart"/>
      <w:r>
        <w:rPr>
          <w:rFonts w:ascii="Arial" w:hAnsi="Arial" w:cs="Arial"/>
          <w:sz w:val="24"/>
          <w:szCs w:val="24"/>
        </w:rPr>
        <w:t>Romaña</w:t>
      </w:r>
      <w:proofErr w:type="spellEnd"/>
      <w:r w:rsidRPr="00DF1B81">
        <w:rPr>
          <w:rFonts w:ascii="Arial" w:hAnsi="Arial" w:cs="Arial"/>
          <w:sz w:val="24"/>
          <w:szCs w:val="24"/>
        </w:rPr>
        <w:t xml:space="preserve">? </w:t>
      </w:r>
    </w:p>
    <w:p w:rsidR="00FE7E33" w:rsidRPr="00DF1B81" w:rsidRDefault="00FE7E33" w:rsidP="00F35DFD">
      <w:pPr>
        <w:widowControl w:val="0"/>
        <w:rPr>
          <w:rFonts w:ascii="Arial" w:hAnsi="Arial" w:cs="Arial"/>
          <w:sz w:val="24"/>
          <w:szCs w:val="24"/>
        </w:rPr>
      </w:pPr>
    </w:p>
    <w:p w:rsidR="00FE7E33" w:rsidRPr="00063D86" w:rsidRDefault="00FE7E33" w:rsidP="00F35DFD">
      <w:pPr>
        <w:pStyle w:val="Textoindependiente21"/>
        <w:widowControl w:val="0"/>
        <w:tabs>
          <w:tab w:val="left" w:pos="1701"/>
        </w:tabs>
        <w:rPr>
          <w:rFonts w:cs="Arial"/>
          <w:szCs w:val="24"/>
          <w:lang w:val="es-CO"/>
        </w:rPr>
      </w:pPr>
      <w:r w:rsidRPr="001C0A45">
        <w:rPr>
          <w:rFonts w:cs="Arial"/>
          <w:szCs w:val="24"/>
        </w:rPr>
        <w:t xml:space="preserve">En respuesta, la Sala señala que el accionado no tiene derecho a que las vacaciones se </w:t>
      </w:r>
      <w:r>
        <w:rPr>
          <w:rFonts w:cs="Arial"/>
          <w:szCs w:val="24"/>
        </w:rPr>
        <w:t>tengan en cuenta</w:t>
      </w:r>
      <w:r>
        <w:rPr>
          <w:rFonts w:cs="Arial"/>
          <w:color w:val="000000"/>
          <w:szCs w:val="24"/>
        </w:rPr>
        <w:t xml:space="preserve"> al calcular </w:t>
      </w:r>
      <w:r w:rsidRPr="001C0A45">
        <w:rPr>
          <w:rFonts w:cs="Arial"/>
          <w:color w:val="000000"/>
          <w:szCs w:val="24"/>
        </w:rPr>
        <w:t xml:space="preserve">la mesada pensional, puesto que </w:t>
      </w:r>
      <w:r w:rsidRPr="001C0A45">
        <w:rPr>
          <w:rFonts w:eastAsia="Dotum" w:cs="Arial"/>
          <w:bCs/>
          <w:szCs w:val="24"/>
        </w:rPr>
        <w:t>constituyen una prestación que corresponde al reconocimiento en tiempo libre y en dinero a los empleados</w:t>
      </w:r>
      <w:r>
        <w:rPr>
          <w:rFonts w:eastAsia="Dotum" w:cs="Arial"/>
          <w:bCs/>
          <w:szCs w:val="24"/>
        </w:rPr>
        <w:t xml:space="preserve"> que cumplan un año de servicios, pero no constituye factor de salario que sirva de base para determinar el IBL de la pensión. </w:t>
      </w:r>
      <w:r w:rsidRPr="0027078A">
        <w:rPr>
          <w:rFonts w:cs="Arial"/>
          <w:szCs w:val="24"/>
          <w:lang w:val="es-CO"/>
        </w:rPr>
        <w:t>Por</w:t>
      </w:r>
      <w:r w:rsidRPr="0027078A">
        <w:rPr>
          <w:rFonts w:cs="Arial"/>
          <w:color w:val="000000"/>
          <w:szCs w:val="24"/>
        </w:rPr>
        <w:t xml:space="preserve"> ello, le corresponderá a la UGPP proferir un nuevo acto administrativo en el cual proceda a </w:t>
      </w:r>
      <w:proofErr w:type="spellStart"/>
      <w:r w:rsidRPr="0027078A">
        <w:rPr>
          <w:rFonts w:cs="Arial"/>
          <w:color w:val="000000"/>
          <w:szCs w:val="24"/>
        </w:rPr>
        <w:t>reliquidar</w:t>
      </w:r>
      <w:proofErr w:type="spellEnd"/>
      <w:r w:rsidRPr="0027078A">
        <w:rPr>
          <w:rFonts w:cs="Arial"/>
          <w:color w:val="000000"/>
          <w:szCs w:val="24"/>
        </w:rPr>
        <w:t xml:space="preserve"> la pensión del señor </w:t>
      </w:r>
      <w:r>
        <w:rPr>
          <w:rFonts w:cs="Arial"/>
          <w:color w:val="000000"/>
          <w:szCs w:val="24"/>
        </w:rPr>
        <w:t xml:space="preserve">Perea </w:t>
      </w:r>
      <w:proofErr w:type="spellStart"/>
      <w:r>
        <w:rPr>
          <w:rFonts w:cs="Arial"/>
          <w:color w:val="000000"/>
          <w:szCs w:val="24"/>
        </w:rPr>
        <w:t>Romaña</w:t>
      </w:r>
      <w:proofErr w:type="spellEnd"/>
      <w:r w:rsidRPr="0027078A">
        <w:rPr>
          <w:rFonts w:cs="Arial"/>
          <w:color w:val="000000"/>
          <w:szCs w:val="24"/>
        </w:rPr>
        <w:t xml:space="preserve"> con sujeción a los parámetros indicados en la presente providencia de reempla</w:t>
      </w:r>
      <w:r>
        <w:rPr>
          <w:rFonts w:cs="Arial"/>
          <w:color w:val="000000"/>
          <w:szCs w:val="24"/>
        </w:rPr>
        <w:t>zo.</w:t>
      </w:r>
    </w:p>
    <w:p w:rsidR="00FE7E33" w:rsidRPr="00DF1B81" w:rsidRDefault="00FE7E33" w:rsidP="00F35DFD">
      <w:pPr>
        <w:widowControl w:val="0"/>
        <w:jc w:val="both"/>
        <w:rPr>
          <w:rFonts w:ascii="Arial" w:hAnsi="Arial" w:cs="Arial"/>
          <w:sz w:val="24"/>
          <w:szCs w:val="24"/>
        </w:rPr>
      </w:pPr>
    </w:p>
    <w:p w:rsidR="00FE7E33" w:rsidRDefault="00FE7E33" w:rsidP="00F35DFD">
      <w:pPr>
        <w:widowControl w:val="0"/>
        <w:spacing w:line="360" w:lineRule="auto"/>
        <w:jc w:val="both"/>
        <w:rPr>
          <w:rFonts w:ascii="Arial" w:hAnsi="Arial" w:cs="Arial"/>
          <w:sz w:val="24"/>
          <w:szCs w:val="24"/>
        </w:rPr>
      </w:pPr>
      <w:r>
        <w:rPr>
          <w:rFonts w:ascii="Arial" w:hAnsi="Arial" w:cs="Arial"/>
          <w:sz w:val="24"/>
          <w:szCs w:val="24"/>
        </w:rPr>
        <w:t xml:space="preserve">En virtud de lo anterior, se infirmará </w:t>
      </w:r>
      <w:r w:rsidRPr="00DF1B81">
        <w:rPr>
          <w:rFonts w:ascii="Arial" w:hAnsi="Arial" w:cs="Arial"/>
          <w:sz w:val="24"/>
          <w:szCs w:val="24"/>
        </w:rPr>
        <w:t xml:space="preserve">parcialmente la sentencia de </w:t>
      </w:r>
      <w:r>
        <w:rPr>
          <w:rFonts w:ascii="Arial" w:hAnsi="Arial" w:cs="Arial"/>
          <w:sz w:val="24"/>
          <w:szCs w:val="24"/>
        </w:rPr>
        <w:t>5 de septiembre de 2013,</w:t>
      </w:r>
      <w:r w:rsidRPr="00DF1B81">
        <w:rPr>
          <w:rFonts w:ascii="Arial" w:hAnsi="Arial" w:cs="Arial"/>
          <w:sz w:val="24"/>
          <w:szCs w:val="24"/>
        </w:rPr>
        <w:t xml:space="preserve"> proferida por el Tribunal Administrativo de</w:t>
      </w:r>
      <w:r>
        <w:rPr>
          <w:rFonts w:ascii="Arial" w:hAnsi="Arial" w:cs="Arial"/>
          <w:sz w:val="24"/>
          <w:szCs w:val="24"/>
        </w:rPr>
        <w:t>l Chocó</w:t>
      </w:r>
      <w:r w:rsidRPr="00DF1B81">
        <w:rPr>
          <w:rFonts w:ascii="Arial" w:hAnsi="Arial" w:cs="Arial"/>
          <w:sz w:val="24"/>
          <w:szCs w:val="24"/>
        </w:rPr>
        <w:t xml:space="preserve">, en tanto confirmó la decisión del Juzgado </w:t>
      </w:r>
      <w:r>
        <w:rPr>
          <w:rFonts w:ascii="Arial" w:hAnsi="Arial" w:cs="Arial"/>
          <w:sz w:val="24"/>
          <w:szCs w:val="24"/>
        </w:rPr>
        <w:t xml:space="preserve">Sexto </w:t>
      </w:r>
      <w:r w:rsidRPr="00DF1B81">
        <w:rPr>
          <w:rFonts w:ascii="Arial" w:hAnsi="Arial" w:cs="Arial"/>
          <w:sz w:val="24"/>
          <w:szCs w:val="24"/>
        </w:rPr>
        <w:t xml:space="preserve">Administrativo </w:t>
      </w:r>
      <w:r>
        <w:rPr>
          <w:rFonts w:ascii="Arial" w:hAnsi="Arial" w:cs="Arial"/>
          <w:sz w:val="24"/>
          <w:szCs w:val="24"/>
        </w:rPr>
        <w:t>de Descongestión</w:t>
      </w:r>
      <w:r w:rsidRPr="00DF1B81">
        <w:rPr>
          <w:rFonts w:ascii="Arial" w:hAnsi="Arial" w:cs="Arial"/>
          <w:sz w:val="24"/>
          <w:szCs w:val="24"/>
        </w:rPr>
        <w:t xml:space="preserve"> </w:t>
      </w:r>
      <w:r>
        <w:rPr>
          <w:rFonts w:ascii="Arial" w:hAnsi="Arial" w:cs="Arial"/>
          <w:sz w:val="24"/>
          <w:szCs w:val="24"/>
        </w:rPr>
        <w:t xml:space="preserve">de Quibdó para en su lugar ordenar la reliquidación de la pensión excluyendo las vacaciones del IBL. </w:t>
      </w:r>
    </w:p>
    <w:p w:rsidR="00FE7E33" w:rsidRPr="00DF1B81" w:rsidRDefault="00FE7E33" w:rsidP="00F35DFD">
      <w:pPr>
        <w:widowControl w:val="0"/>
        <w:jc w:val="both"/>
        <w:rPr>
          <w:rFonts w:ascii="Arial" w:hAnsi="Arial" w:cs="Arial"/>
          <w:sz w:val="24"/>
          <w:szCs w:val="24"/>
        </w:rPr>
      </w:pPr>
    </w:p>
    <w:p w:rsidR="00FE7E33" w:rsidRPr="00DF1B81" w:rsidRDefault="00FE7E33" w:rsidP="00F35DFD">
      <w:pPr>
        <w:widowControl w:val="0"/>
        <w:spacing w:line="360" w:lineRule="auto"/>
        <w:jc w:val="both"/>
        <w:rPr>
          <w:rFonts w:ascii="Arial" w:hAnsi="Arial" w:cs="Arial"/>
          <w:i/>
          <w:iCs/>
          <w:sz w:val="24"/>
          <w:szCs w:val="24"/>
        </w:rPr>
      </w:pPr>
      <w:r w:rsidRPr="00DF1B81">
        <w:rPr>
          <w:rFonts w:ascii="Arial" w:hAnsi="Arial" w:cs="Arial"/>
          <w:iCs/>
          <w:sz w:val="24"/>
          <w:szCs w:val="24"/>
        </w:rPr>
        <w:t>En mérito de lo expuesto, el Consejo de Estado, Sala de lo Contencioso Administrativo, Sección Segunda, Subsección “B”, administrando justicia en nombre de la República y por autoridad de la Ley,</w:t>
      </w:r>
    </w:p>
    <w:p w:rsidR="00FE7E33" w:rsidRDefault="00FE7E33" w:rsidP="00F35DFD">
      <w:pPr>
        <w:widowControl w:val="0"/>
        <w:jc w:val="center"/>
        <w:rPr>
          <w:rFonts w:ascii="Arial" w:hAnsi="Arial" w:cs="Arial"/>
          <w:b/>
          <w:sz w:val="24"/>
          <w:szCs w:val="24"/>
        </w:rPr>
      </w:pPr>
    </w:p>
    <w:p w:rsidR="00FE7E33" w:rsidRPr="00DF1B81" w:rsidRDefault="00FE7E33" w:rsidP="00F35DFD">
      <w:pPr>
        <w:widowControl w:val="0"/>
        <w:spacing w:line="360" w:lineRule="auto"/>
        <w:jc w:val="center"/>
        <w:rPr>
          <w:rFonts w:ascii="Arial" w:hAnsi="Arial" w:cs="Arial"/>
          <w:b/>
          <w:sz w:val="24"/>
          <w:szCs w:val="24"/>
        </w:rPr>
      </w:pPr>
      <w:r w:rsidRPr="00DF1B81">
        <w:rPr>
          <w:rFonts w:ascii="Arial" w:hAnsi="Arial" w:cs="Arial"/>
          <w:b/>
          <w:sz w:val="24"/>
          <w:szCs w:val="24"/>
        </w:rPr>
        <w:t>FALLA</w:t>
      </w:r>
    </w:p>
    <w:p w:rsidR="00FE7E33" w:rsidRPr="00DF1B81" w:rsidRDefault="00FE7E33" w:rsidP="00F35DFD">
      <w:pPr>
        <w:widowControl w:val="0"/>
        <w:rPr>
          <w:rFonts w:ascii="Arial" w:hAnsi="Arial" w:cs="Arial"/>
          <w:sz w:val="24"/>
          <w:szCs w:val="24"/>
        </w:rPr>
      </w:pPr>
    </w:p>
    <w:p w:rsidR="00FE7E33" w:rsidRPr="00DF1B81" w:rsidRDefault="00FE7E33" w:rsidP="00F35DFD">
      <w:pPr>
        <w:widowControl w:val="0"/>
        <w:spacing w:line="360" w:lineRule="auto"/>
        <w:jc w:val="both"/>
        <w:rPr>
          <w:rFonts w:ascii="Arial" w:hAnsi="Arial" w:cs="Arial"/>
          <w:sz w:val="24"/>
          <w:szCs w:val="24"/>
        </w:rPr>
      </w:pPr>
      <w:r w:rsidRPr="00DF1B81">
        <w:rPr>
          <w:rFonts w:ascii="Arial" w:hAnsi="Arial" w:cs="Arial"/>
          <w:b/>
          <w:sz w:val="24"/>
          <w:szCs w:val="24"/>
        </w:rPr>
        <w:t>PRIMERO. DECLÁRASE</w:t>
      </w:r>
      <w:r w:rsidRPr="00DF1B81">
        <w:rPr>
          <w:rFonts w:ascii="Arial" w:hAnsi="Arial" w:cs="Arial"/>
          <w:sz w:val="24"/>
          <w:szCs w:val="24"/>
        </w:rPr>
        <w:t xml:space="preserve"> fundado el recurso extraordinario especial de revisión interpuesto por la </w:t>
      </w:r>
      <w:r>
        <w:rPr>
          <w:rFonts w:ascii="Arial" w:hAnsi="Arial" w:cs="Arial"/>
          <w:sz w:val="24"/>
          <w:szCs w:val="24"/>
        </w:rPr>
        <w:t>UGPP</w:t>
      </w:r>
      <w:r w:rsidRPr="00DF1B81">
        <w:rPr>
          <w:rFonts w:ascii="Arial" w:hAnsi="Arial" w:cs="Arial"/>
          <w:sz w:val="24"/>
          <w:szCs w:val="24"/>
        </w:rPr>
        <w:t xml:space="preserve">, contra el fallo de </w:t>
      </w:r>
      <w:r>
        <w:rPr>
          <w:rFonts w:ascii="Arial" w:hAnsi="Arial" w:cs="Arial"/>
          <w:sz w:val="24"/>
          <w:szCs w:val="24"/>
        </w:rPr>
        <w:t>5 de septiembre de 2013</w:t>
      </w:r>
      <w:r w:rsidRPr="00DF1B81">
        <w:rPr>
          <w:rFonts w:ascii="Arial" w:hAnsi="Arial" w:cs="Arial"/>
          <w:sz w:val="24"/>
          <w:szCs w:val="24"/>
        </w:rPr>
        <w:t xml:space="preserve">, </w:t>
      </w:r>
      <w:r w:rsidRPr="00DF1B81">
        <w:rPr>
          <w:rFonts w:ascii="Arial" w:hAnsi="Arial" w:cs="Arial"/>
          <w:sz w:val="24"/>
          <w:szCs w:val="24"/>
        </w:rPr>
        <w:lastRenderedPageBreak/>
        <w:t>proferido por el Tribunal Administrativo de</w:t>
      </w:r>
      <w:r>
        <w:rPr>
          <w:rFonts w:ascii="Arial" w:hAnsi="Arial" w:cs="Arial"/>
          <w:sz w:val="24"/>
          <w:szCs w:val="24"/>
        </w:rPr>
        <w:t>l Chocó</w:t>
      </w:r>
      <w:r w:rsidRPr="00DF1B81">
        <w:rPr>
          <w:rFonts w:ascii="Arial" w:hAnsi="Arial" w:cs="Arial"/>
          <w:sz w:val="24"/>
          <w:szCs w:val="24"/>
        </w:rPr>
        <w:t>, en lo atinente a la inclusión de l</w:t>
      </w:r>
      <w:r>
        <w:rPr>
          <w:rFonts w:ascii="Arial" w:hAnsi="Arial" w:cs="Arial"/>
          <w:sz w:val="24"/>
          <w:szCs w:val="24"/>
        </w:rPr>
        <w:t xml:space="preserve">as vacaciones en el IBL, de acuerdo con </w:t>
      </w:r>
      <w:r w:rsidRPr="00DF1B81">
        <w:rPr>
          <w:rFonts w:ascii="Arial" w:hAnsi="Arial" w:cs="Arial"/>
          <w:sz w:val="24"/>
          <w:szCs w:val="24"/>
        </w:rPr>
        <w:t xml:space="preserve">la causal prevista en el literal b) del artículo 20 de la Ley 797 de 2003. </w:t>
      </w:r>
    </w:p>
    <w:p w:rsidR="00FE7E33" w:rsidRPr="00DF1B81" w:rsidRDefault="00FE7E33" w:rsidP="00F35DFD">
      <w:pPr>
        <w:widowControl w:val="0"/>
        <w:rPr>
          <w:rFonts w:ascii="Arial" w:hAnsi="Arial" w:cs="Arial"/>
          <w:sz w:val="24"/>
          <w:szCs w:val="24"/>
        </w:rPr>
      </w:pPr>
    </w:p>
    <w:p w:rsidR="00FE7E33" w:rsidRPr="00DF1B81" w:rsidRDefault="00FE7E33" w:rsidP="00F35DFD">
      <w:pPr>
        <w:widowControl w:val="0"/>
        <w:spacing w:line="360" w:lineRule="auto"/>
        <w:jc w:val="both"/>
        <w:rPr>
          <w:rFonts w:ascii="Arial" w:hAnsi="Arial" w:cs="Arial"/>
          <w:sz w:val="24"/>
          <w:szCs w:val="24"/>
          <w:lang w:val="es-ES_tradnl"/>
        </w:rPr>
      </w:pPr>
      <w:r w:rsidRPr="00DF1B81">
        <w:rPr>
          <w:rFonts w:ascii="Arial" w:hAnsi="Arial" w:cs="Arial"/>
          <w:b/>
          <w:sz w:val="24"/>
          <w:szCs w:val="24"/>
          <w:lang w:val="es-ES_tradnl"/>
        </w:rPr>
        <w:t xml:space="preserve">SEGUNDO: </w:t>
      </w:r>
      <w:r w:rsidRPr="00DF1B81">
        <w:rPr>
          <w:rFonts w:ascii="Arial" w:hAnsi="Arial" w:cs="Arial"/>
          <w:sz w:val="24"/>
          <w:szCs w:val="24"/>
          <w:lang w:val="es-ES_tradnl"/>
        </w:rPr>
        <w:t>En consecuencia</w:t>
      </w:r>
      <w:r w:rsidRPr="00DF1B81">
        <w:rPr>
          <w:rFonts w:ascii="Arial" w:hAnsi="Arial" w:cs="Arial"/>
          <w:b/>
          <w:sz w:val="24"/>
          <w:szCs w:val="24"/>
          <w:lang w:val="es-ES_tradnl"/>
        </w:rPr>
        <w:t xml:space="preserve"> </w:t>
      </w:r>
      <w:r>
        <w:rPr>
          <w:rFonts w:ascii="Arial" w:hAnsi="Arial" w:cs="Arial"/>
          <w:b/>
          <w:sz w:val="24"/>
          <w:szCs w:val="24"/>
          <w:lang w:val="es-ES_tradnl"/>
        </w:rPr>
        <w:t>INFÍRMA</w:t>
      </w:r>
      <w:r w:rsidRPr="00DF1B81">
        <w:rPr>
          <w:rFonts w:ascii="Arial" w:hAnsi="Arial" w:cs="Arial"/>
          <w:b/>
          <w:sz w:val="24"/>
          <w:szCs w:val="24"/>
          <w:lang w:val="es-ES_tradnl"/>
        </w:rPr>
        <w:t xml:space="preserve">SE </w:t>
      </w:r>
      <w:r w:rsidRPr="00DF1B81">
        <w:rPr>
          <w:rFonts w:ascii="Arial" w:hAnsi="Arial" w:cs="Arial"/>
          <w:sz w:val="24"/>
          <w:szCs w:val="24"/>
          <w:lang w:val="es-ES_tradnl"/>
        </w:rPr>
        <w:t xml:space="preserve">parcialmente la sentencia de </w:t>
      </w:r>
      <w:r>
        <w:rPr>
          <w:rFonts w:ascii="Arial" w:hAnsi="Arial" w:cs="Arial"/>
          <w:sz w:val="24"/>
          <w:szCs w:val="24"/>
        </w:rPr>
        <w:t>5 de septiembre de 2013</w:t>
      </w:r>
      <w:r w:rsidRPr="00DF1B81">
        <w:rPr>
          <w:rFonts w:ascii="Arial" w:hAnsi="Arial" w:cs="Arial"/>
          <w:sz w:val="24"/>
          <w:szCs w:val="24"/>
        </w:rPr>
        <w:t>, proferid</w:t>
      </w:r>
      <w:r>
        <w:rPr>
          <w:rFonts w:ascii="Arial" w:hAnsi="Arial" w:cs="Arial"/>
          <w:sz w:val="24"/>
          <w:szCs w:val="24"/>
        </w:rPr>
        <w:t>a</w:t>
      </w:r>
      <w:r w:rsidRPr="00DF1B81">
        <w:rPr>
          <w:rFonts w:ascii="Arial" w:hAnsi="Arial" w:cs="Arial"/>
          <w:sz w:val="24"/>
          <w:szCs w:val="24"/>
        </w:rPr>
        <w:t xml:space="preserve"> por el Tribunal Administrativo de</w:t>
      </w:r>
      <w:r>
        <w:rPr>
          <w:rFonts w:ascii="Arial" w:hAnsi="Arial" w:cs="Arial"/>
          <w:sz w:val="24"/>
          <w:szCs w:val="24"/>
        </w:rPr>
        <w:t>l Chocó</w:t>
      </w:r>
      <w:r>
        <w:rPr>
          <w:rFonts w:ascii="Arial" w:hAnsi="Arial" w:cs="Arial"/>
          <w:sz w:val="24"/>
          <w:szCs w:val="24"/>
          <w:lang w:val="es-ES_tradnl"/>
        </w:rPr>
        <w:t xml:space="preserve">. </w:t>
      </w:r>
    </w:p>
    <w:p w:rsidR="00FE7E33" w:rsidRPr="00DF1B81" w:rsidRDefault="00FE7E33" w:rsidP="00F35DFD">
      <w:pPr>
        <w:widowControl w:val="0"/>
        <w:spacing w:line="360" w:lineRule="auto"/>
        <w:jc w:val="both"/>
        <w:rPr>
          <w:rFonts w:ascii="Arial" w:hAnsi="Arial" w:cs="Arial"/>
          <w:sz w:val="24"/>
          <w:szCs w:val="24"/>
          <w:lang w:val="es-ES_tradnl"/>
        </w:rPr>
      </w:pPr>
    </w:p>
    <w:p w:rsidR="00FE7E33" w:rsidRPr="00DF1B81" w:rsidRDefault="00FE7E33" w:rsidP="00F35DFD">
      <w:pPr>
        <w:widowControl w:val="0"/>
        <w:spacing w:line="360" w:lineRule="auto"/>
        <w:jc w:val="both"/>
        <w:rPr>
          <w:rFonts w:ascii="Arial" w:hAnsi="Arial" w:cs="Arial"/>
          <w:sz w:val="24"/>
          <w:szCs w:val="24"/>
          <w:lang w:val="es-ES_tradnl"/>
        </w:rPr>
      </w:pPr>
      <w:r w:rsidRPr="00DF1B81">
        <w:rPr>
          <w:rFonts w:ascii="Arial" w:hAnsi="Arial" w:cs="Arial"/>
          <w:sz w:val="24"/>
          <w:szCs w:val="24"/>
          <w:lang w:val="es-ES_tradnl"/>
        </w:rPr>
        <w:t>En su lugar dispone:</w:t>
      </w:r>
    </w:p>
    <w:p w:rsidR="00FE7E33" w:rsidRPr="00DF1B81" w:rsidRDefault="00FE7E33" w:rsidP="00F35DFD">
      <w:pPr>
        <w:widowControl w:val="0"/>
        <w:spacing w:line="360" w:lineRule="auto"/>
        <w:rPr>
          <w:rFonts w:ascii="Arial" w:hAnsi="Arial" w:cs="Arial"/>
          <w:sz w:val="24"/>
          <w:szCs w:val="24"/>
          <w:lang w:val="es-ES_tradnl"/>
        </w:rPr>
      </w:pPr>
    </w:p>
    <w:p w:rsidR="00FE7E33" w:rsidRDefault="00FE7E33" w:rsidP="00F35DFD">
      <w:pPr>
        <w:widowControl w:val="0"/>
        <w:spacing w:line="360" w:lineRule="auto"/>
        <w:jc w:val="both"/>
        <w:rPr>
          <w:rFonts w:ascii="Arial" w:hAnsi="Arial" w:cs="Arial"/>
          <w:sz w:val="24"/>
          <w:szCs w:val="24"/>
          <w:lang w:val="es-ES_tradnl"/>
        </w:rPr>
      </w:pPr>
      <w:r w:rsidRPr="00DF1B81">
        <w:rPr>
          <w:rFonts w:ascii="Arial" w:hAnsi="Arial" w:cs="Arial"/>
          <w:b/>
          <w:sz w:val="24"/>
          <w:szCs w:val="24"/>
          <w:lang w:val="es-ES_tradnl"/>
        </w:rPr>
        <w:t>ORDÉNASE</w:t>
      </w:r>
      <w:r w:rsidRPr="00DF1B81">
        <w:rPr>
          <w:rFonts w:ascii="Arial" w:hAnsi="Arial" w:cs="Arial"/>
          <w:sz w:val="24"/>
          <w:szCs w:val="24"/>
          <w:lang w:val="es-ES_tradnl"/>
        </w:rPr>
        <w:t xml:space="preserve"> a la </w:t>
      </w:r>
      <w:r>
        <w:rPr>
          <w:rFonts w:ascii="Arial" w:hAnsi="Arial" w:cs="Arial"/>
          <w:sz w:val="24"/>
          <w:szCs w:val="24"/>
          <w:lang w:val="es-ES_tradnl"/>
        </w:rPr>
        <w:t>UGPP</w:t>
      </w:r>
      <w:r w:rsidRPr="00DF1B81">
        <w:rPr>
          <w:rFonts w:ascii="Arial" w:hAnsi="Arial" w:cs="Arial"/>
          <w:sz w:val="24"/>
          <w:szCs w:val="24"/>
          <w:lang w:val="es-ES_tradnl"/>
        </w:rPr>
        <w:t xml:space="preserve"> que profiera una nueva liquidación de la pensión de jubilación del señor </w:t>
      </w:r>
      <w:r>
        <w:rPr>
          <w:rFonts w:ascii="Arial" w:hAnsi="Arial" w:cs="Arial"/>
          <w:sz w:val="24"/>
          <w:szCs w:val="24"/>
          <w:lang w:val="es-ES_tradnl"/>
        </w:rPr>
        <w:t xml:space="preserve">Omar Perea </w:t>
      </w:r>
      <w:proofErr w:type="spellStart"/>
      <w:r>
        <w:rPr>
          <w:rFonts w:ascii="Arial" w:hAnsi="Arial" w:cs="Arial"/>
          <w:sz w:val="24"/>
          <w:szCs w:val="24"/>
          <w:lang w:val="es-ES_tradnl"/>
        </w:rPr>
        <w:t>Romaña</w:t>
      </w:r>
      <w:proofErr w:type="spellEnd"/>
      <w:r w:rsidRPr="00DF1B81">
        <w:rPr>
          <w:rFonts w:ascii="Arial" w:hAnsi="Arial" w:cs="Arial"/>
          <w:sz w:val="24"/>
          <w:szCs w:val="24"/>
          <w:lang w:val="es-ES_tradnl"/>
        </w:rPr>
        <w:t>,</w:t>
      </w:r>
      <w:r>
        <w:rPr>
          <w:rFonts w:ascii="Arial" w:hAnsi="Arial" w:cs="Arial"/>
          <w:sz w:val="24"/>
          <w:szCs w:val="24"/>
          <w:lang w:val="es-ES_tradnl"/>
        </w:rPr>
        <w:t xml:space="preserve"> sin la inclusión de las vacaciones en el IBL.</w:t>
      </w:r>
    </w:p>
    <w:p w:rsidR="00FE7E33" w:rsidRPr="00DF1B81" w:rsidRDefault="00FE7E33" w:rsidP="00F35DFD">
      <w:pPr>
        <w:widowControl w:val="0"/>
        <w:spacing w:line="360" w:lineRule="auto"/>
        <w:jc w:val="both"/>
        <w:rPr>
          <w:rFonts w:ascii="Arial" w:hAnsi="Arial" w:cs="Arial"/>
          <w:sz w:val="24"/>
          <w:szCs w:val="24"/>
          <w:lang w:val="es-ES_tradnl"/>
        </w:rPr>
      </w:pPr>
    </w:p>
    <w:p w:rsidR="00FE7E33" w:rsidRPr="00DF1B81" w:rsidRDefault="00FE7E33" w:rsidP="00F35DFD">
      <w:pPr>
        <w:widowControl w:val="0"/>
        <w:spacing w:line="360" w:lineRule="auto"/>
        <w:jc w:val="both"/>
        <w:rPr>
          <w:rFonts w:ascii="Arial" w:hAnsi="Arial" w:cs="Arial"/>
          <w:sz w:val="24"/>
          <w:szCs w:val="24"/>
          <w:lang w:val="es-ES_tradnl"/>
        </w:rPr>
      </w:pPr>
      <w:r w:rsidRPr="00DF1B81">
        <w:rPr>
          <w:rFonts w:ascii="Arial" w:hAnsi="Arial" w:cs="Arial"/>
          <w:b/>
          <w:sz w:val="24"/>
          <w:szCs w:val="24"/>
          <w:lang w:val="es-ES_tradnl"/>
        </w:rPr>
        <w:t xml:space="preserve">TERCERO: </w:t>
      </w:r>
      <w:r w:rsidRPr="00DF1B81">
        <w:rPr>
          <w:rFonts w:ascii="Arial" w:hAnsi="Arial" w:cs="Arial"/>
          <w:sz w:val="24"/>
          <w:szCs w:val="24"/>
          <w:lang w:val="es-ES_tradnl"/>
        </w:rPr>
        <w:t>Cumplido lo anterior, archivar el expediente del recurso extraordinario de revisión.</w:t>
      </w:r>
    </w:p>
    <w:p w:rsidR="00FE7E33" w:rsidRPr="00DF1B81" w:rsidRDefault="00FE7E33" w:rsidP="00F35DFD">
      <w:pPr>
        <w:widowControl w:val="0"/>
        <w:jc w:val="both"/>
        <w:rPr>
          <w:rFonts w:ascii="Arial" w:hAnsi="Arial" w:cs="Arial"/>
          <w:sz w:val="24"/>
          <w:szCs w:val="24"/>
        </w:rPr>
      </w:pPr>
    </w:p>
    <w:p w:rsidR="00FE7E33" w:rsidRPr="00DF1B81" w:rsidRDefault="00FE7E33" w:rsidP="00F35DFD">
      <w:pPr>
        <w:widowControl w:val="0"/>
        <w:spacing w:line="360" w:lineRule="auto"/>
        <w:jc w:val="both"/>
        <w:rPr>
          <w:rFonts w:ascii="Arial" w:hAnsi="Arial" w:cs="Arial"/>
          <w:i/>
          <w:iCs/>
          <w:sz w:val="24"/>
          <w:szCs w:val="24"/>
        </w:rPr>
      </w:pPr>
      <w:r w:rsidRPr="00DF1B81">
        <w:rPr>
          <w:rFonts w:ascii="Arial" w:hAnsi="Arial" w:cs="Arial"/>
          <w:b/>
          <w:iCs/>
          <w:sz w:val="24"/>
          <w:szCs w:val="24"/>
        </w:rPr>
        <w:t>Cópiese, notifíquese</w:t>
      </w:r>
      <w:r w:rsidRPr="00DF1B81">
        <w:rPr>
          <w:rFonts w:ascii="Arial" w:hAnsi="Arial" w:cs="Arial"/>
          <w:iCs/>
          <w:sz w:val="24"/>
          <w:szCs w:val="24"/>
        </w:rPr>
        <w:t xml:space="preserve"> y una vez ejecutoriada esta providencia. </w:t>
      </w:r>
    </w:p>
    <w:p w:rsidR="00FE7E33" w:rsidRPr="00DF1B81" w:rsidRDefault="00FE7E33" w:rsidP="00F35DFD">
      <w:pPr>
        <w:widowControl w:val="0"/>
        <w:spacing w:line="360" w:lineRule="auto"/>
        <w:jc w:val="both"/>
        <w:rPr>
          <w:rFonts w:ascii="Arial" w:hAnsi="Arial" w:cs="Arial"/>
          <w:sz w:val="24"/>
          <w:szCs w:val="24"/>
        </w:rPr>
      </w:pPr>
    </w:p>
    <w:p w:rsidR="00FE7E33" w:rsidRPr="00DF1B81" w:rsidRDefault="00FE7E33" w:rsidP="00F35DFD">
      <w:pPr>
        <w:widowControl w:val="0"/>
        <w:spacing w:line="360" w:lineRule="auto"/>
        <w:jc w:val="both"/>
        <w:rPr>
          <w:rFonts w:ascii="Arial" w:hAnsi="Arial" w:cs="Arial"/>
          <w:sz w:val="24"/>
          <w:szCs w:val="24"/>
        </w:rPr>
      </w:pPr>
      <w:r w:rsidRPr="00DF1B81">
        <w:rPr>
          <w:rFonts w:ascii="Arial" w:hAnsi="Arial" w:cs="Arial"/>
          <w:sz w:val="24"/>
          <w:szCs w:val="24"/>
        </w:rPr>
        <w:t xml:space="preserve">La anterior providencia fue discutida y aprobada por </w:t>
      </w:r>
      <w:smartTag w:uri="urn:schemas-microsoft-com:office:smarttags" w:element="PersonName">
        <w:smartTagPr>
          <w:attr w:name="ProductID" w:val="la Sala"/>
        </w:smartTagPr>
        <w:r w:rsidRPr="00DF1B81">
          <w:rPr>
            <w:rFonts w:ascii="Arial" w:hAnsi="Arial" w:cs="Arial"/>
            <w:sz w:val="24"/>
            <w:szCs w:val="24"/>
          </w:rPr>
          <w:t>la Sala</w:t>
        </w:r>
      </w:smartTag>
      <w:r w:rsidRPr="00DF1B81">
        <w:rPr>
          <w:rFonts w:ascii="Arial" w:hAnsi="Arial" w:cs="Arial"/>
          <w:sz w:val="24"/>
          <w:szCs w:val="24"/>
        </w:rPr>
        <w:t xml:space="preserve"> en la presente sesión.</w:t>
      </w:r>
    </w:p>
    <w:p w:rsidR="00FE7E33" w:rsidRDefault="00FE7E33" w:rsidP="00F35DFD">
      <w:pPr>
        <w:widowControl w:val="0"/>
        <w:tabs>
          <w:tab w:val="left" w:pos="397"/>
        </w:tabs>
        <w:overflowPunct w:val="0"/>
        <w:autoSpaceDE w:val="0"/>
        <w:autoSpaceDN w:val="0"/>
        <w:adjustRightInd w:val="0"/>
        <w:spacing w:line="360" w:lineRule="auto"/>
        <w:jc w:val="both"/>
        <w:textAlignment w:val="baseline"/>
        <w:rPr>
          <w:rFonts w:ascii="Arial" w:eastAsia="Times New Roman" w:hAnsi="Arial" w:cs="Arial"/>
          <w:b/>
          <w:iCs/>
          <w:sz w:val="24"/>
          <w:szCs w:val="24"/>
          <w:lang w:val="es-ES" w:eastAsia="es-ES"/>
        </w:rPr>
      </w:pPr>
      <w:r w:rsidRPr="00ED339E">
        <w:rPr>
          <w:rFonts w:ascii="Arial" w:eastAsia="Dotum" w:hAnsi="Arial" w:cs="Arial"/>
          <w:bCs/>
          <w:sz w:val="24"/>
          <w:szCs w:val="24"/>
          <w:lang w:val="es-ES" w:eastAsia="es-ES"/>
        </w:rPr>
        <w:t xml:space="preserve"> </w:t>
      </w:r>
    </w:p>
    <w:p w:rsidR="00FE7E33" w:rsidRDefault="00FE7E33" w:rsidP="00F35DFD">
      <w:pPr>
        <w:keepNext/>
        <w:jc w:val="center"/>
        <w:outlineLvl w:val="2"/>
        <w:rPr>
          <w:rFonts w:ascii="Arial" w:eastAsia="Times New Roman" w:hAnsi="Arial" w:cs="Arial"/>
          <w:b/>
          <w:iCs/>
          <w:sz w:val="24"/>
          <w:szCs w:val="24"/>
          <w:lang w:val="es-ES" w:eastAsia="es-ES"/>
        </w:rPr>
      </w:pPr>
    </w:p>
    <w:p w:rsidR="00FE7E33" w:rsidRDefault="00FE7E33" w:rsidP="00F35DFD">
      <w:pPr>
        <w:keepNext/>
        <w:jc w:val="center"/>
        <w:outlineLvl w:val="2"/>
        <w:rPr>
          <w:rFonts w:ascii="Arial" w:eastAsia="Times New Roman" w:hAnsi="Arial" w:cs="Arial"/>
          <w:b/>
          <w:iCs/>
          <w:sz w:val="24"/>
          <w:szCs w:val="24"/>
          <w:lang w:val="es-ES" w:eastAsia="es-ES"/>
        </w:rPr>
      </w:pPr>
    </w:p>
    <w:p w:rsidR="00FE7E33" w:rsidRPr="00BF39CC" w:rsidRDefault="00FE7E33" w:rsidP="00F35DFD">
      <w:pPr>
        <w:keepNext/>
        <w:jc w:val="center"/>
        <w:outlineLvl w:val="2"/>
        <w:rPr>
          <w:rFonts w:ascii="Arial" w:eastAsia="Times New Roman" w:hAnsi="Arial" w:cs="Arial"/>
          <w:b/>
          <w:iCs/>
          <w:sz w:val="24"/>
          <w:szCs w:val="24"/>
          <w:lang w:val="es-ES" w:eastAsia="es-ES"/>
        </w:rPr>
      </w:pPr>
    </w:p>
    <w:p w:rsidR="00FE7E33" w:rsidRPr="00BF39CC" w:rsidRDefault="00FE7E33" w:rsidP="00F35DFD">
      <w:pPr>
        <w:keepNext/>
        <w:jc w:val="center"/>
        <w:outlineLvl w:val="2"/>
        <w:rPr>
          <w:rFonts w:ascii="Arial" w:eastAsia="Times New Roman" w:hAnsi="Arial" w:cs="Arial"/>
          <w:b/>
          <w:iCs/>
          <w:sz w:val="24"/>
          <w:szCs w:val="24"/>
          <w:lang w:val="es-ES" w:eastAsia="es-ES"/>
        </w:rPr>
      </w:pPr>
      <w:r w:rsidRPr="00BF39CC">
        <w:rPr>
          <w:rFonts w:ascii="Arial" w:eastAsia="Times New Roman" w:hAnsi="Arial" w:cs="Arial"/>
          <w:b/>
          <w:iCs/>
          <w:sz w:val="24"/>
          <w:szCs w:val="24"/>
          <w:lang w:val="es-ES" w:eastAsia="es-ES"/>
        </w:rPr>
        <w:t xml:space="preserve">CÉSAR PALOMINO CORTÉS                             </w:t>
      </w:r>
    </w:p>
    <w:p w:rsidR="00FE7E33" w:rsidRPr="00BF39CC" w:rsidRDefault="00FE7E33" w:rsidP="00F35DFD">
      <w:pPr>
        <w:keepNext/>
        <w:tabs>
          <w:tab w:val="left" w:pos="4894"/>
        </w:tabs>
        <w:outlineLvl w:val="2"/>
        <w:rPr>
          <w:rFonts w:ascii="Arial" w:eastAsia="Times New Roman" w:hAnsi="Arial" w:cs="Arial"/>
          <w:b/>
          <w:iCs/>
          <w:sz w:val="24"/>
          <w:szCs w:val="24"/>
          <w:lang w:val="es-ES" w:eastAsia="es-ES"/>
        </w:rPr>
      </w:pPr>
    </w:p>
    <w:p w:rsidR="00FE7E33" w:rsidRDefault="00FE7E33" w:rsidP="00F35DFD">
      <w:pPr>
        <w:keepNext/>
        <w:tabs>
          <w:tab w:val="left" w:pos="4894"/>
        </w:tabs>
        <w:outlineLvl w:val="2"/>
        <w:rPr>
          <w:rFonts w:ascii="Arial" w:eastAsia="Times New Roman" w:hAnsi="Arial" w:cs="Arial"/>
          <w:b/>
          <w:iCs/>
          <w:sz w:val="24"/>
          <w:szCs w:val="24"/>
          <w:lang w:val="es-ES" w:eastAsia="es-ES"/>
        </w:rPr>
      </w:pPr>
    </w:p>
    <w:p w:rsidR="00FE7E33" w:rsidRDefault="00FE7E33" w:rsidP="00F35DFD">
      <w:pPr>
        <w:keepNext/>
        <w:tabs>
          <w:tab w:val="left" w:pos="4894"/>
        </w:tabs>
        <w:outlineLvl w:val="2"/>
        <w:rPr>
          <w:rFonts w:ascii="Arial" w:eastAsia="Times New Roman" w:hAnsi="Arial" w:cs="Arial"/>
          <w:b/>
          <w:iCs/>
          <w:sz w:val="24"/>
          <w:szCs w:val="24"/>
          <w:lang w:val="es-ES" w:eastAsia="es-ES"/>
        </w:rPr>
      </w:pPr>
    </w:p>
    <w:p w:rsidR="00FE7E33" w:rsidRDefault="00FE7E33" w:rsidP="00F35DFD">
      <w:pPr>
        <w:keepNext/>
        <w:tabs>
          <w:tab w:val="left" w:pos="4894"/>
        </w:tabs>
        <w:outlineLvl w:val="2"/>
        <w:rPr>
          <w:rFonts w:ascii="Arial" w:eastAsia="Times New Roman" w:hAnsi="Arial" w:cs="Arial"/>
          <w:b/>
          <w:iCs/>
          <w:sz w:val="24"/>
          <w:szCs w:val="24"/>
          <w:lang w:val="es-ES" w:eastAsia="es-ES"/>
        </w:rPr>
      </w:pPr>
    </w:p>
    <w:p w:rsidR="00FE7E33" w:rsidRDefault="00FE7E33" w:rsidP="00F35DFD">
      <w:pPr>
        <w:keepNext/>
        <w:jc w:val="both"/>
        <w:outlineLvl w:val="2"/>
        <w:rPr>
          <w:rFonts w:ascii="Arial" w:eastAsia="Times New Roman" w:hAnsi="Arial" w:cs="Arial"/>
          <w:b/>
          <w:sz w:val="24"/>
          <w:szCs w:val="24"/>
          <w:lang w:val="es-ES" w:eastAsia="es-ES"/>
        </w:rPr>
      </w:pPr>
      <w:r w:rsidRPr="00BF39CC">
        <w:rPr>
          <w:rFonts w:ascii="Arial" w:eastAsia="Times New Roman" w:hAnsi="Arial" w:cs="Arial"/>
          <w:b/>
          <w:iCs/>
          <w:sz w:val="24"/>
          <w:szCs w:val="24"/>
          <w:lang w:val="es-ES" w:eastAsia="es-ES"/>
        </w:rPr>
        <w:t xml:space="preserve">CARMELO PERDOMO CUÉTER             </w:t>
      </w:r>
      <w:r w:rsidRPr="00BF39CC">
        <w:rPr>
          <w:rFonts w:ascii="Arial" w:eastAsia="Times New Roman" w:hAnsi="Arial" w:cs="Arial"/>
          <w:b/>
          <w:sz w:val="24"/>
          <w:szCs w:val="24"/>
          <w:lang w:val="es-ES" w:eastAsia="es-ES"/>
        </w:rPr>
        <w:t>SANDRA LISSET IBARRA VÉLEZ</w:t>
      </w:r>
    </w:p>
    <w:p w:rsidR="00FE7E33" w:rsidRPr="00BF39CC" w:rsidRDefault="00FE7E33" w:rsidP="00F35DFD">
      <w:pPr>
        <w:keepNext/>
        <w:jc w:val="both"/>
        <w:outlineLvl w:val="2"/>
        <w:rPr>
          <w:rFonts w:ascii="Arial" w:eastAsia="Times New Roman" w:hAnsi="Arial" w:cs="Arial"/>
          <w:b/>
          <w:bCs/>
          <w:sz w:val="24"/>
          <w:szCs w:val="24"/>
          <w:lang w:val="es-ES" w:eastAsia="es-ES"/>
        </w:rPr>
      </w:pP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r>
      <w:r>
        <w:rPr>
          <w:rFonts w:ascii="Arial" w:eastAsia="Times New Roman" w:hAnsi="Arial" w:cs="Arial"/>
          <w:b/>
          <w:sz w:val="24"/>
          <w:szCs w:val="24"/>
          <w:lang w:val="es-ES" w:eastAsia="es-ES"/>
        </w:rPr>
        <w:tab/>
        <w:t xml:space="preserve"> </w:t>
      </w:r>
    </w:p>
    <w:p w:rsidR="003553B0" w:rsidRDefault="003553B0" w:rsidP="003553B0"/>
    <w:p w:rsidR="003144DD" w:rsidRDefault="003144DD"/>
    <w:sectPr w:rsidR="003144DD" w:rsidSect="00F35DFD">
      <w:pgSz w:w="12240" w:h="18720" w:code="14"/>
      <w:pgMar w:top="2268" w:right="1701" w:bottom="1701" w:left="226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59" w:rsidRDefault="00530A59" w:rsidP="00FE7E33">
      <w:pPr>
        <w:spacing w:after="0" w:line="240" w:lineRule="auto"/>
      </w:pPr>
      <w:r>
        <w:separator/>
      </w:r>
    </w:p>
  </w:endnote>
  <w:endnote w:type="continuationSeparator" w:id="0">
    <w:p w:rsidR="00530A59" w:rsidRDefault="00530A59" w:rsidP="00FE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59" w:rsidRDefault="00530A59" w:rsidP="00FE7E33">
      <w:pPr>
        <w:spacing w:after="0" w:line="240" w:lineRule="auto"/>
      </w:pPr>
      <w:r>
        <w:separator/>
      </w:r>
    </w:p>
  </w:footnote>
  <w:footnote w:type="continuationSeparator" w:id="0">
    <w:p w:rsidR="00530A59" w:rsidRDefault="00530A59" w:rsidP="00FE7E33">
      <w:pPr>
        <w:spacing w:after="0" w:line="240" w:lineRule="auto"/>
      </w:pPr>
      <w:r>
        <w:continuationSeparator/>
      </w:r>
    </w:p>
  </w:footnote>
  <w:footnote w:id="1">
    <w:p w:rsidR="00FE7E33" w:rsidRPr="00E87AA1" w:rsidRDefault="00FE7E33" w:rsidP="00F35DFD">
      <w:pPr>
        <w:pStyle w:val="Textonotapie"/>
        <w:spacing w:line="240" w:lineRule="auto"/>
        <w:rPr>
          <w:i/>
        </w:rPr>
      </w:pPr>
      <w:r w:rsidRPr="00E87AA1">
        <w:rPr>
          <w:rStyle w:val="Refdenotaalpie"/>
          <w:i/>
        </w:rPr>
        <w:footnoteRef/>
      </w:r>
      <w:r w:rsidRPr="00E87AA1">
        <w:rPr>
          <w:i/>
        </w:rPr>
        <w:t xml:space="preserve"> </w:t>
      </w:r>
      <w:r w:rsidRPr="00E87AA1">
        <w:rPr>
          <w:rFonts w:ascii="Arial" w:hAnsi="Arial" w:cs="Arial"/>
          <w:i/>
          <w:sz w:val="16"/>
          <w:szCs w:val="16"/>
        </w:rPr>
        <w:t>Folios 148 a 158</w:t>
      </w:r>
    </w:p>
  </w:footnote>
  <w:footnote w:id="2">
    <w:p w:rsidR="00FE7E33" w:rsidRPr="00E87AA1" w:rsidRDefault="00FE7E33" w:rsidP="00F35DFD">
      <w:pPr>
        <w:pStyle w:val="Textonotapie"/>
        <w:spacing w:line="240" w:lineRule="auto"/>
        <w:rPr>
          <w:i/>
        </w:rPr>
      </w:pPr>
      <w:r w:rsidRPr="00E87AA1">
        <w:rPr>
          <w:rStyle w:val="Refdenotaalpie"/>
          <w:i/>
        </w:rPr>
        <w:footnoteRef/>
      </w:r>
      <w:r w:rsidRPr="00E87AA1">
        <w:rPr>
          <w:rFonts w:ascii="Arial" w:hAnsi="Arial" w:cs="Arial"/>
          <w:i/>
          <w:sz w:val="16"/>
          <w:szCs w:val="16"/>
        </w:rPr>
        <w:t xml:space="preserve"> Folios 164 a 171</w:t>
      </w:r>
    </w:p>
  </w:footnote>
  <w:footnote w:id="3">
    <w:p w:rsidR="00FE7E33" w:rsidRPr="00E87AA1" w:rsidRDefault="00FE7E33" w:rsidP="00F35DFD">
      <w:pPr>
        <w:pStyle w:val="Textonotapie"/>
        <w:spacing w:line="240" w:lineRule="auto"/>
        <w:rPr>
          <w:rFonts w:ascii="Arial" w:hAnsi="Arial" w:cs="Arial"/>
          <w:i/>
          <w:sz w:val="16"/>
          <w:szCs w:val="16"/>
        </w:rPr>
      </w:pPr>
      <w:r w:rsidRPr="00E87AA1">
        <w:rPr>
          <w:rStyle w:val="Refdenotaalpie"/>
          <w:rFonts w:ascii="Arial" w:hAnsi="Arial" w:cs="Arial"/>
          <w:i/>
          <w:sz w:val="16"/>
          <w:szCs w:val="16"/>
        </w:rPr>
        <w:footnoteRef/>
      </w:r>
      <w:r w:rsidRPr="00E87AA1">
        <w:rPr>
          <w:rFonts w:ascii="Arial" w:hAnsi="Arial" w:cs="Arial"/>
          <w:i/>
          <w:sz w:val="16"/>
          <w:szCs w:val="16"/>
        </w:rPr>
        <w:t xml:space="preserve"> Folios 175 – 176 y 201  del cuaderno principal </w:t>
      </w:r>
    </w:p>
  </w:footnote>
  <w:footnote w:id="4">
    <w:p w:rsidR="00FE7E33" w:rsidRPr="00E87AA1" w:rsidRDefault="00FE7E33" w:rsidP="00F35DFD">
      <w:pPr>
        <w:pStyle w:val="Textonotapie"/>
        <w:spacing w:line="240" w:lineRule="auto"/>
        <w:rPr>
          <w:rFonts w:ascii="Arial" w:hAnsi="Arial" w:cs="Arial"/>
          <w:i/>
          <w:sz w:val="16"/>
          <w:szCs w:val="16"/>
        </w:rPr>
      </w:pPr>
      <w:r w:rsidRPr="00E87AA1">
        <w:rPr>
          <w:rStyle w:val="Refdenotaalpie"/>
          <w:rFonts w:ascii="Arial" w:hAnsi="Arial" w:cs="Arial"/>
          <w:i/>
          <w:sz w:val="16"/>
          <w:szCs w:val="16"/>
        </w:rPr>
        <w:footnoteRef/>
      </w:r>
      <w:r w:rsidRPr="00E87AA1">
        <w:rPr>
          <w:rFonts w:ascii="Arial" w:hAnsi="Arial" w:cs="Arial"/>
          <w:i/>
          <w:sz w:val="16"/>
          <w:szCs w:val="16"/>
        </w:rPr>
        <w:t xml:space="preserve"> El aparte «sin exclusión de la sección que profirió la decisión» fue declarado exequible por la Corte Constitucional, mediante sentencia C-450 de 16 de julio de 2015.</w:t>
      </w:r>
    </w:p>
  </w:footnote>
  <w:footnote w:id="5">
    <w:p w:rsidR="00FE7E33" w:rsidRPr="00E87AA1" w:rsidRDefault="00FE7E33" w:rsidP="00F35DFD">
      <w:pPr>
        <w:pStyle w:val="Textonotapie"/>
        <w:spacing w:line="240" w:lineRule="auto"/>
        <w:rPr>
          <w:rFonts w:ascii="Arial" w:hAnsi="Arial" w:cs="Arial"/>
          <w:i/>
          <w:sz w:val="16"/>
          <w:szCs w:val="16"/>
        </w:rPr>
      </w:pPr>
      <w:r w:rsidRPr="00E87AA1">
        <w:rPr>
          <w:rStyle w:val="Refdenotaalpie"/>
          <w:rFonts w:ascii="Arial" w:hAnsi="Arial" w:cs="Arial"/>
          <w:i/>
          <w:sz w:val="16"/>
          <w:szCs w:val="16"/>
        </w:rPr>
        <w:footnoteRef/>
      </w:r>
      <w:r w:rsidRPr="00E87AA1">
        <w:rPr>
          <w:rFonts w:ascii="Arial" w:hAnsi="Arial" w:cs="Arial"/>
          <w:i/>
          <w:sz w:val="16"/>
          <w:szCs w:val="16"/>
        </w:rPr>
        <w:t xml:space="preserve"> Corte Constitucional, sentencias C-418 de 1994 y C-247 de 1997, M. P. Jorge Arango Mejía y José Gregorio Hernández Galindo, respectivamente, y Corte Suprema de Justicia, Sala de Casación Civil, sentencia de 31 de enero de 1977, Actor: Hotel Americano Ltda., M.P. Humberto Murcia Ballén.</w:t>
      </w:r>
    </w:p>
  </w:footnote>
  <w:footnote w:id="6">
    <w:p w:rsidR="00FE7E33" w:rsidRPr="00E87AA1" w:rsidRDefault="00FE7E33" w:rsidP="00F35DFD">
      <w:pPr>
        <w:pStyle w:val="Textonotapie"/>
        <w:spacing w:line="240" w:lineRule="auto"/>
        <w:rPr>
          <w:rFonts w:ascii="Arial" w:hAnsi="Arial" w:cs="Arial"/>
          <w:i/>
          <w:sz w:val="16"/>
          <w:szCs w:val="16"/>
        </w:rPr>
      </w:pPr>
      <w:r w:rsidRPr="00E87AA1">
        <w:rPr>
          <w:rStyle w:val="Refdenotaalpie"/>
          <w:rFonts w:ascii="Arial" w:hAnsi="Arial" w:cs="Arial"/>
          <w:i/>
          <w:sz w:val="16"/>
          <w:szCs w:val="16"/>
        </w:rPr>
        <w:footnoteRef/>
      </w:r>
      <w:r w:rsidRPr="00E87AA1">
        <w:rPr>
          <w:rFonts w:ascii="Arial" w:hAnsi="Arial" w:cs="Arial"/>
          <w:i/>
          <w:sz w:val="16"/>
          <w:szCs w:val="16"/>
        </w:rPr>
        <w:t xml:space="preserve"> Consejo de Estado, Sala Plena de lo Contencioso Administrativo, sentencia de 27 de abril de 2004, REV 194, Consejera Ponente María Inés Ortiz Barbosa.</w:t>
      </w:r>
    </w:p>
  </w:footnote>
  <w:footnote w:id="7">
    <w:p w:rsidR="00FE7E33" w:rsidRPr="00E87AA1" w:rsidRDefault="00FE7E33" w:rsidP="00F35DFD">
      <w:pPr>
        <w:pStyle w:val="Textonotapie"/>
        <w:spacing w:line="240" w:lineRule="auto"/>
        <w:rPr>
          <w:rFonts w:ascii="Arial" w:hAnsi="Arial" w:cs="Arial"/>
          <w:i/>
          <w:sz w:val="16"/>
          <w:szCs w:val="16"/>
        </w:rPr>
      </w:pPr>
      <w:r w:rsidRPr="00E87AA1">
        <w:rPr>
          <w:rStyle w:val="Refdenotaalpie"/>
          <w:rFonts w:ascii="Arial" w:hAnsi="Arial" w:cs="Arial"/>
          <w:i/>
          <w:sz w:val="16"/>
          <w:szCs w:val="16"/>
        </w:rPr>
        <w:footnoteRef/>
      </w:r>
      <w:r w:rsidRPr="00E87AA1">
        <w:rPr>
          <w:rFonts w:ascii="Arial" w:hAnsi="Arial" w:cs="Arial"/>
          <w:i/>
          <w:sz w:val="16"/>
          <w:szCs w:val="16"/>
        </w:rPr>
        <w:t xml:space="preserve"> Corte Suprema de Justicia, Sala de Casación Civil, sentencia de 31 de enero de 1997, M.P. doctor Humberto Murcia Ballén y Hernando Morales Molina, </w:t>
      </w:r>
      <w:r w:rsidRPr="00E87AA1">
        <w:rPr>
          <w:rFonts w:ascii="Arial" w:hAnsi="Arial" w:cs="Arial"/>
          <w:i/>
          <w:iCs/>
          <w:sz w:val="16"/>
          <w:szCs w:val="16"/>
        </w:rPr>
        <w:t>Curso de Derecho Procesal Civil. Parte General</w:t>
      </w:r>
      <w:r w:rsidRPr="00E87AA1">
        <w:rPr>
          <w:rFonts w:ascii="Arial" w:hAnsi="Arial" w:cs="Arial"/>
          <w:i/>
          <w:sz w:val="16"/>
          <w:szCs w:val="16"/>
        </w:rPr>
        <w:t>, Bogotá, Editorial ABC, 1991, págs. 685 y 686.</w:t>
      </w:r>
    </w:p>
  </w:footnote>
  <w:footnote w:id="8">
    <w:p w:rsidR="00FE7E33" w:rsidRPr="00E87AA1" w:rsidRDefault="00FE7E33" w:rsidP="00F35DFD">
      <w:pPr>
        <w:pStyle w:val="Textonotapie"/>
        <w:spacing w:line="240" w:lineRule="auto"/>
        <w:rPr>
          <w:i/>
        </w:rPr>
      </w:pPr>
      <w:r w:rsidRPr="00E87AA1">
        <w:rPr>
          <w:rStyle w:val="Refdenotaalpie"/>
          <w:i/>
        </w:rPr>
        <w:footnoteRef/>
      </w:r>
      <w:r w:rsidRPr="00E87AA1">
        <w:rPr>
          <w:i/>
        </w:rPr>
        <w:t xml:space="preserve"> “P</w:t>
      </w:r>
      <w:r w:rsidRPr="00E87AA1">
        <w:rPr>
          <w:rFonts w:ascii="Arial" w:hAnsi="Arial" w:cs="Arial"/>
          <w:i/>
          <w:sz w:val="16"/>
          <w:szCs w:val="16"/>
        </w:rPr>
        <w:t>or el cual se prevé la integración de la seguridad social entre el sector público y el privado y se regula el régimen prestacional de los empleados públicos y trabajadores oficiales”.</w:t>
      </w:r>
    </w:p>
  </w:footnote>
  <w:footnote w:id="9">
    <w:p w:rsidR="00FE7E33" w:rsidRPr="00E87AA1" w:rsidRDefault="00FE7E33" w:rsidP="00F35DFD">
      <w:pPr>
        <w:pStyle w:val="Textonotapie"/>
        <w:spacing w:line="240" w:lineRule="auto"/>
        <w:rPr>
          <w:rFonts w:ascii="Arial" w:hAnsi="Arial" w:cs="Arial"/>
          <w:i/>
          <w:sz w:val="16"/>
          <w:szCs w:val="16"/>
        </w:rPr>
      </w:pPr>
      <w:r w:rsidRPr="00E87AA1">
        <w:rPr>
          <w:rStyle w:val="Refdenotaalpie"/>
          <w:rFonts w:ascii="Arial" w:hAnsi="Arial" w:cs="Arial"/>
          <w:i/>
          <w:sz w:val="16"/>
          <w:szCs w:val="16"/>
        </w:rPr>
        <w:footnoteRef/>
      </w:r>
      <w:r w:rsidRPr="00E87AA1">
        <w:rPr>
          <w:rFonts w:ascii="Arial" w:hAnsi="Arial" w:cs="Arial"/>
          <w:i/>
          <w:sz w:val="16"/>
          <w:szCs w:val="16"/>
        </w:rPr>
        <w:t xml:space="preserve"> </w:t>
      </w:r>
      <w:r w:rsidRPr="00E87AA1">
        <w:rPr>
          <w:rFonts w:ascii="Arial" w:eastAsia="Times New Roman" w:hAnsi="Arial" w:cs="Arial"/>
          <w:i/>
          <w:color w:val="4A4A4A"/>
          <w:sz w:val="16"/>
          <w:szCs w:val="16"/>
          <w:lang w:eastAsia="es-CO"/>
        </w:rPr>
        <w:t>“</w:t>
      </w:r>
      <w:r w:rsidRPr="00E87AA1">
        <w:rPr>
          <w:rFonts w:ascii="Arial" w:eastAsia="Times New Roman" w:hAnsi="Arial" w:cs="Arial"/>
          <w:i/>
          <w:iCs/>
          <w:color w:val="4A4A4A"/>
          <w:sz w:val="16"/>
          <w:szCs w:val="16"/>
          <w:lang w:eastAsia="es-CO"/>
        </w:rPr>
        <w:t>por el cual se fijan las reglas generales para la aplicación de las normas sobre prestaciones sociales de los empleados públicos y trabajadores oficiales del sector nacional”</w:t>
      </w:r>
    </w:p>
  </w:footnote>
  <w:footnote w:id="10">
    <w:p w:rsidR="00FE7E33" w:rsidRPr="00E87AA1" w:rsidRDefault="00FE7E33" w:rsidP="00F35DFD">
      <w:pPr>
        <w:pStyle w:val="Textonotapie"/>
        <w:spacing w:line="240" w:lineRule="auto"/>
        <w:rPr>
          <w:rFonts w:ascii="Arial" w:hAnsi="Arial" w:cs="Arial"/>
          <w:i/>
          <w:sz w:val="16"/>
          <w:szCs w:val="16"/>
        </w:rPr>
      </w:pPr>
      <w:r w:rsidRPr="00E87AA1">
        <w:rPr>
          <w:rStyle w:val="Refdenotaalpie"/>
          <w:i/>
        </w:rPr>
        <w:footnoteRef/>
      </w:r>
      <w:r w:rsidRPr="00E87AA1">
        <w:rPr>
          <w:i/>
        </w:rPr>
        <w:t xml:space="preserve"> </w:t>
      </w:r>
      <w:r w:rsidRPr="00E87AA1">
        <w:rPr>
          <w:rFonts w:ascii="Arial" w:hAnsi="Arial" w:cs="Arial"/>
          <w:i/>
          <w:sz w:val="16"/>
          <w:szCs w:val="16"/>
        </w:rPr>
        <w:t xml:space="preserve">Consejo de Estado, Sala de lo Contencioso Administrativo, Sección Segunda, Consejero Ponente: </w:t>
      </w:r>
      <w:proofErr w:type="spellStart"/>
      <w:r w:rsidRPr="00E87AA1">
        <w:rPr>
          <w:rFonts w:ascii="Arial" w:hAnsi="Arial" w:cs="Arial"/>
          <w:i/>
          <w:sz w:val="16"/>
          <w:szCs w:val="16"/>
        </w:rPr>
        <w:t>Victor</w:t>
      </w:r>
      <w:proofErr w:type="spellEnd"/>
      <w:r w:rsidRPr="00E87AA1">
        <w:rPr>
          <w:rFonts w:ascii="Arial" w:hAnsi="Arial" w:cs="Arial"/>
          <w:i/>
          <w:sz w:val="16"/>
          <w:szCs w:val="16"/>
        </w:rPr>
        <w:t xml:space="preserve"> Hernando Alvarado Ardila, Bogotá D.C., cuatro (4) de agosto de dos mil diez (2010), Radicación Número: 25000-23-25-000-2006-07509-01(0112-09), Actor: Luis Mario </w:t>
      </w:r>
      <w:proofErr w:type="spellStart"/>
      <w:r w:rsidRPr="00E87AA1">
        <w:rPr>
          <w:rFonts w:ascii="Arial" w:hAnsi="Arial" w:cs="Arial"/>
          <w:i/>
          <w:sz w:val="16"/>
          <w:szCs w:val="16"/>
        </w:rPr>
        <w:t>Velandia</w:t>
      </w:r>
      <w:proofErr w:type="spellEnd"/>
      <w:r w:rsidRPr="00E87AA1">
        <w:rPr>
          <w:rFonts w:ascii="Arial" w:hAnsi="Arial" w:cs="Arial"/>
          <w:i/>
          <w:sz w:val="16"/>
          <w:szCs w:val="16"/>
        </w:rPr>
        <w:t xml:space="preserve">, </w:t>
      </w:r>
      <w:r>
        <w:rPr>
          <w:rFonts w:ascii="Arial" w:hAnsi="Arial" w:cs="Arial"/>
          <w:i/>
          <w:sz w:val="16"/>
          <w:szCs w:val="16"/>
        </w:rPr>
        <w:t>Demandado: Caja Nacional d</w:t>
      </w:r>
      <w:r w:rsidRPr="00E87AA1">
        <w:rPr>
          <w:rFonts w:ascii="Arial" w:hAnsi="Arial" w:cs="Arial"/>
          <w:i/>
          <w:sz w:val="16"/>
          <w:szCs w:val="16"/>
        </w:rPr>
        <w:t xml:space="preserve">e Previsión Social. </w:t>
      </w:r>
    </w:p>
  </w:footnote>
  <w:footnote w:id="11">
    <w:p w:rsidR="00FE7E33" w:rsidRPr="00E87AA1" w:rsidRDefault="00FE7E33" w:rsidP="00F35DFD">
      <w:pPr>
        <w:pStyle w:val="Textonotapie"/>
        <w:spacing w:line="240" w:lineRule="auto"/>
        <w:rPr>
          <w:i/>
        </w:rPr>
      </w:pPr>
      <w:r w:rsidRPr="00E87AA1">
        <w:rPr>
          <w:rStyle w:val="Refdenotaalpie"/>
          <w:i/>
        </w:rPr>
        <w:footnoteRef/>
      </w:r>
      <w:r w:rsidRPr="00E87AA1">
        <w:rPr>
          <w:i/>
        </w:rPr>
        <w:t xml:space="preserve"> </w:t>
      </w:r>
      <w:r w:rsidRPr="00E87AA1">
        <w:rPr>
          <w:rFonts w:ascii="Arial" w:hAnsi="Arial" w:cs="Arial"/>
          <w:i/>
          <w:sz w:val="16"/>
          <w:szCs w:val="16"/>
        </w:rPr>
        <w:t xml:space="preserve">Rad. 2009-0276-01. Actor: Francisco </w:t>
      </w:r>
      <w:proofErr w:type="spellStart"/>
      <w:r w:rsidRPr="00E87AA1">
        <w:rPr>
          <w:rFonts w:ascii="Arial" w:hAnsi="Arial" w:cs="Arial"/>
          <w:i/>
          <w:sz w:val="16"/>
          <w:szCs w:val="16"/>
        </w:rPr>
        <w:t>Aristizábal</w:t>
      </w:r>
      <w:proofErr w:type="spellEnd"/>
      <w:r w:rsidRPr="00E87AA1">
        <w:rPr>
          <w:rFonts w:ascii="Arial" w:hAnsi="Arial" w:cs="Arial"/>
          <w:i/>
          <w:sz w:val="16"/>
          <w:szCs w:val="16"/>
        </w:rPr>
        <w:t>. M.P. Alfonso Vargas Rincón.</w:t>
      </w:r>
    </w:p>
  </w:footnote>
  <w:footnote w:id="12">
    <w:p w:rsidR="00FE7E33" w:rsidRPr="00E87AA1" w:rsidRDefault="00FE7E33" w:rsidP="00F35DFD">
      <w:pPr>
        <w:pStyle w:val="Textonotapie"/>
        <w:spacing w:line="240" w:lineRule="auto"/>
        <w:rPr>
          <w:i/>
        </w:rPr>
      </w:pPr>
      <w:r w:rsidRPr="00E87AA1">
        <w:rPr>
          <w:rStyle w:val="Refdenotaalpie"/>
          <w:i/>
        </w:rPr>
        <w:footnoteRef/>
      </w:r>
      <w:r w:rsidRPr="00E87AA1">
        <w:rPr>
          <w:i/>
        </w:rPr>
        <w:t xml:space="preserve"> </w:t>
      </w:r>
      <w:r w:rsidRPr="00E87AA1">
        <w:rPr>
          <w:rFonts w:ascii="Arial" w:hAnsi="Arial" w:cs="Arial"/>
          <w:i/>
          <w:sz w:val="16"/>
          <w:szCs w:val="16"/>
        </w:rPr>
        <w:t xml:space="preserve">Consejo de Estado, Sala de lo Contencioso Administrativo, Sección Segunda, Subsección B, Consejera Ponente: Sandra </w:t>
      </w:r>
      <w:proofErr w:type="spellStart"/>
      <w:r w:rsidRPr="00E87AA1">
        <w:rPr>
          <w:rFonts w:ascii="Arial" w:hAnsi="Arial" w:cs="Arial"/>
          <w:i/>
          <w:sz w:val="16"/>
          <w:szCs w:val="16"/>
        </w:rPr>
        <w:t>Lisset</w:t>
      </w:r>
      <w:proofErr w:type="spellEnd"/>
      <w:r w:rsidRPr="00E87AA1">
        <w:rPr>
          <w:rFonts w:ascii="Arial" w:hAnsi="Arial" w:cs="Arial"/>
          <w:i/>
          <w:sz w:val="16"/>
          <w:szCs w:val="16"/>
        </w:rPr>
        <w:t xml:space="preserve"> Ibarra Vélez, Bogotá D. C., Veintiuno (21) De Enero De Dos Mil Dieciséis (2016), Actor: </w:t>
      </w:r>
      <w:proofErr w:type="spellStart"/>
      <w:r w:rsidRPr="00E87AA1">
        <w:rPr>
          <w:rFonts w:ascii="Arial" w:hAnsi="Arial" w:cs="Arial"/>
          <w:i/>
          <w:sz w:val="16"/>
          <w:szCs w:val="16"/>
        </w:rPr>
        <w:t>Jose</w:t>
      </w:r>
      <w:proofErr w:type="spellEnd"/>
      <w:r w:rsidRPr="00E87AA1">
        <w:rPr>
          <w:rFonts w:ascii="Arial" w:hAnsi="Arial" w:cs="Arial"/>
          <w:i/>
          <w:sz w:val="16"/>
          <w:szCs w:val="16"/>
        </w:rPr>
        <w:t xml:space="preserve"> </w:t>
      </w:r>
      <w:proofErr w:type="spellStart"/>
      <w:r w:rsidRPr="00E87AA1">
        <w:rPr>
          <w:rFonts w:ascii="Arial" w:hAnsi="Arial" w:cs="Arial"/>
          <w:i/>
          <w:sz w:val="16"/>
          <w:szCs w:val="16"/>
        </w:rPr>
        <w:t>Hernan</w:t>
      </w:r>
      <w:proofErr w:type="spellEnd"/>
      <w:r w:rsidRPr="00E87AA1">
        <w:rPr>
          <w:rFonts w:ascii="Arial" w:hAnsi="Arial" w:cs="Arial"/>
          <w:i/>
          <w:sz w:val="16"/>
          <w:szCs w:val="16"/>
        </w:rPr>
        <w:t xml:space="preserve"> Montoya Arboleda, Demandado: Contraloría General De Antioquia. Radicado: 3979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52B04"/>
    <w:multiLevelType w:val="hybridMultilevel"/>
    <w:tmpl w:val="B1209D04"/>
    <w:lvl w:ilvl="0" w:tplc="97144E64">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B0"/>
    <w:rsid w:val="003144DD"/>
    <w:rsid w:val="003553B0"/>
    <w:rsid w:val="00530A59"/>
    <w:rsid w:val="007457A4"/>
    <w:rsid w:val="00BD2146"/>
    <w:rsid w:val="00BD784B"/>
    <w:rsid w:val="00F35DFD"/>
    <w:rsid w:val="00FE7E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671E54E-22CD-4F28-9417-40EFACD4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2">
    <w:name w:val="heading 2"/>
    <w:basedOn w:val="Normal"/>
    <w:next w:val="Normal"/>
    <w:link w:val="Ttulo2Car"/>
    <w:uiPriority w:val="9"/>
    <w:unhideWhenUsed/>
    <w:qFormat/>
    <w:rsid w:val="00FE7E33"/>
    <w:pPr>
      <w:keepNext/>
      <w:spacing w:after="0" w:line="360" w:lineRule="auto"/>
      <w:jc w:val="center"/>
      <w:outlineLvl w:val="1"/>
    </w:pPr>
    <w:rPr>
      <w:rFonts w:ascii="Palatino Linotype" w:eastAsia="Times New Roman" w:hAnsi="Palatino Linotype"/>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E7E33"/>
    <w:rPr>
      <w:rFonts w:ascii="Palatino Linotype" w:eastAsia="Times New Roman" w:hAnsi="Palatino Linotype"/>
      <w:b/>
      <w:sz w:val="28"/>
      <w:szCs w:val="28"/>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link w:val="Textonotapie"/>
    <w:uiPriority w:val="99"/>
    <w:qFormat/>
    <w:locked/>
    <w:rsid w:val="00FE7E33"/>
    <w:rPr>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Footnote Te"/>
    <w:basedOn w:val="Normal"/>
    <w:link w:val="TextonotapieCar"/>
    <w:uiPriority w:val="99"/>
    <w:unhideWhenUsed/>
    <w:qFormat/>
    <w:rsid w:val="00FE7E33"/>
    <w:pPr>
      <w:spacing w:after="0" w:line="276" w:lineRule="auto"/>
      <w:jc w:val="both"/>
    </w:pPr>
    <w:rPr>
      <w:sz w:val="20"/>
      <w:szCs w:val="20"/>
    </w:rPr>
  </w:style>
  <w:style w:type="character" w:customStyle="1" w:styleId="TextonotapieCar1">
    <w:name w:val="Texto nota pie Car1"/>
    <w:uiPriority w:val="99"/>
    <w:semiHidden/>
    <w:rsid w:val="00FE7E33"/>
    <w:rPr>
      <w:lang w:eastAsia="en-U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link w:val="4GChar"/>
    <w:unhideWhenUsed/>
    <w:qFormat/>
    <w:rsid w:val="00FE7E33"/>
    <w:rPr>
      <w:vertAlign w:val="superscript"/>
    </w:rPr>
  </w:style>
  <w:style w:type="paragraph" w:customStyle="1" w:styleId="bodytext2">
    <w:name w:val="bodytext2"/>
    <w:basedOn w:val="Normal"/>
    <w:rsid w:val="00FE7E33"/>
    <w:pPr>
      <w:overflowPunct w:val="0"/>
      <w:autoSpaceDE w:val="0"/>
      <w:autoSpaceDN w:val="0"/>
      <w:spacing w:after="0" w:line="360" w:lineRule="auto"/>
      <w:jc w:val="both"/>
    </w:pPr>
    <w:rPr>
      <w:rFonts w:ascii="Arial" w:eastAsia="Times New Roman" w:hAnsi="Arial" w:cs="Arial"/>
      <w:b/>
      <w:bCs/>
      <w:i/>
      <w:iCs/>
      <w:spacing w:val="-3"/>
      <w:sz w:val="24"/>
      <w:szCs w:val="24"/>
      <w:lang w:val="es-ES" w:eastAsia="es-ES"/>
    </w:rPr>
  </w:style>
  <w:style w:type="paragraph" w:customStyle="1" w:styleId="Textoindependiente21">
    <w:name w:val="Texto independiente 21"/>
    <w:basedOn w:val="Normal"/>
    <w:link w:val="BodyText2Car"/>
    <w:rsid w:val="00FE7E33"/>
    <w:pPr>
      <w:spacing w:after="0" w:line="360" w:lineRule="auto"/>
      <w:jc w:val="both"/>
    </w:pPr>
    <w:rPr>
      <w:rFonts w:ascii="Arial" w:eastAsia="Times New Roman" w:hAnsi="Arial"/>
      <w:sz w:val="24"/>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E7E33"/>
    <w:pPr>
      <w:spacing w:after="0" w:line="240" w:lineRule="auto"/>
      <w:jc w:val="both"/>
    </w:pPr>
    <w:rPr>
      <w:sz w:val="20"/>
      <w:szCs w:val="20"/>
      <w:vertAlign w:val="superscript"/>
      <w:lang w:eastAsia="es-CO"/>
    </w:rPr>
  </w:style>
  <w:style w:type="paragraph" w:customStyle="1" w:styleId="Textopredeterminado">
    <w:name w:val="Texto predeterminado"/>
    <w:basedOn w:val="Normal"/>
    <w:uiPriority w:val="99"/>
    <w:semiHidden/>
    <w:rsid w:val="00FE7E33"/>
    <w:pPr>
      <w:overflowPunct w:val="0"/>
      <w:autoSpaceDE w:val="0"/>
      <w:autoSpaceDN w:val="0"/>
      <w:adjustRightInd w:val="0"/>
      <w:spacing w:after="0" w:line="240" w:lineRule="auto"/>
    </w:pPr>
    <w:rPr>
      <w:rFonts w:ascii="Times New Roman" w:eastAsia="Times New Roman" w:hAnsi="Times New Roman"/>
      <w:sz w:val="24"/>
      <w:szCs w:val="20"/>
      <w:lang w:val="en-US" w:eastAsia="es-CO"/>
    </w:rPr>
  </w:style>
  <w:style w:type="character" w:customStyle="1" w:styleId="BodyText2Car">
    <w:name w:val="Body Text 2 Car"/>
    <w:link w:val="Textoindependiente21"/>
    <w:rsid w:val="00FE7E33"/>
    <w:rPr>
      <w:rFonts w:ascii="Arial" w:eastAsia="Times New Roman"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2722</Words>
  <Characters>14975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LIZETH VALDIVIESO VALDIVIESO</dc:creator>
  <cp:keywords/>
  <dc:description/>
  <cp:lastModifiedBy>Toshiba</cp:lastModifiedBy>
  <cp:revision>2</cp:revision>
  <dcterms:created xsi:type="dcterms:W3CDTF">2020-05-05T20:39:00Z</dcterms:created>
  <dcterms:modified xsi:type="dcterms:W3CDTF">2020-05-05T20:39:00Z</dcterms:modified>
</cp:coreProperties>
</file>